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15"/>
          <w:szCs w:val="15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15"/>
          <w:szCs w:val="15"/>
          <w:lang w:val="en-US" w:eastAsia="zh-CN"/>
        </w:rPr>
        <w:t>轻烃回收开车确认表</w:t>
      </w:r>
    </w:p>
    <w:tbl>
      <w:tblPr>
        <w:tblStyle w:val="4"/>
        <w:tblW w:w="13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6939"/>
        <w:gridCol w:w="1240"/>
        <w:gridCol w:w="1240"/>
        <w:gridCol w:w="145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3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确认项目</w:t>
            </w: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确认内容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执行人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确认人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引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精制石脑油，建立循环</w:t>
            </w: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联系化验室，对各塔、容器进行采样分析，确认O2含量≤0.5%（V%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联系调度、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港储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，做好引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精制石脑油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和退油流程的确认。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做好P-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A/B、P-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A/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、P-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B启动前的各项准备工作。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将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稳定石脑油至罐区阀打开，引精制石脑油进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装置。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待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C-610液位至8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0%后，启动P-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610/B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，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向C-630装油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待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C-630液位至8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0%后，启动P-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A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/C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，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向C-640装油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带C-640液位至100%后，继续收约50m3，停止收油，关闭稳定石脑油至罐区阀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开P-630B，向C-610装油，待C-610液位上升后，停止循环，停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A/B、P-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A/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、P-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静止2h以上各塔底放空及塔底泵切水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重新启动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A/B、P-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A/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、P-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B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建立循环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投用轻烃各空冷器、水冷器；引冷冻水，建立冷冻水开路循环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引初常顶石脑油</w:t>
            </w: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初、常顶石脑油干点合格，改至轻烃回收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稳定石脑改至出装置，循环阀关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投用E-615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改通脱吸塔顶气至D-602流程，D-602罐至吸收塔关闭，改通至火炬气流程，并投用E-602W。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改通C-610塔顶至火炬。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开脱析塔</w:t>
            </w: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引1.0MPa蒸汽至E-630R前，排尽存水并见汽；投用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 w:bidi="ar-SA"/>
              </w:rPr>
              <w:t>E-R30R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D-630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 w:bidi="ar-SA"/>
              </w:rPr>
              <w:t>液位至60%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 w:bidi="ar-SA"/>
              </w:rPr>
              <w:t>改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凝结水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 w:bidi="ar-SA"/>
              </w:rPr>
              <w:t>出装置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spacing w:line="312" w:lineRule="auto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开稳定塔</w:t>
            </w: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D-641罐顶气改至D-602，从D-602罐顶放火炬。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投用E-640RSR热源，控制升温速度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当D-641液位至60%，启动液化气泵打回流。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D-641液位持续上升时，投用D-641至火炬流程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C-640塔顶压力升至0.8MPa时，稳定石脑油改至自压出装置，停P-630B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开压缩机</w:t>
            </w: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引常顶石脑油至压缩机，建立压缩机喷液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投用压缩机系统冷却器、润滑油等系统，压缩机具备开车条件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投用压缩机联锁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引初顶气和常顶气至D-601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，罐顶放空开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改D-601罐顶气至压缩机，启运压缩机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，正常后关闭D-601至火炬阀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开吸收塔</w:t>
            </w: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D-602干气改至C-610，关闭D-602罐顶至火炬气阀门。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D-601、D-602有液位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 w:bidi="ar-SA"/>
              </w:rPr>
              <w:t>高时，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分别启运P-601和P-602分别往D-645和C-630送油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调整操作</w:t>
            </w: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确认三塔循环正常、液位平稳（40-60%）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ind w:left="420" w:hanging="420"/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C-630塔顶温度（45~55℃）、塔顶压力（0.8~1.0MPa）和塔底温度（重沸器出口温度140~170℃）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C-640塔顶温度控制60~80℃，D-641压力控制0.8~1.1MPa，液化气C5+（C5及以上组分，以下同）组分以上含量≯3%（V%），液化气C2—（C2及以下组分，以下同）组分以下含量≯5%（V%）。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39" w:type="dxa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 w:bidi="ar-SA"/>
              </w:rPr>
              <w:t>控制吸收塔顶压力0.65~0.85MPa，吸收塔顶温度15~25℃</w:t>
            </w: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5"/>
          <w:szCs w:val="15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04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5C41"/>
    <w:rsid w:val="07893707"/>
    <w:rsid w:val="089E1745"/>
    <w:rsid w:val="1763574E"/>
    <w:rsid w:val="21E76B62"/>
    <w:rsid w:val="23E7453E"/>
    <w:rsid w:val="2CE5343D"/>
    <w:rsid w:val="3B5430EF"/>
    <w:rsid w:val="3CAE2FA9"/>
    <w:rsid w:val="4F661644"/>
    <w:rsid w:val="59DC3FCE"/>
    <w:rsid w:val="5A8F7D89"/>
    <w:rsid w:val="5B783850"/>
    <w:rsid w:val="615125AC"/>
    <w:rsid w:val="651C6EED"/>
    <w:rsid w:val="6C0607B6"/>
    <w:rsid w:val="784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left"/>
      <w:textAlignment w:val="baseline"/>
    </w:pPr>
    <w:rPr>
      <w:rFonts w:ascii="???" w:hAnsi="Times New Roman" w:eastAsia="宋体" w:cs="???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adminii</dc:creator>
  <cp:lastModifiedBy>病毒已侵入</cp:lastModifiedBy>
  <dcterms:modified xsi:type="dcterms:W3CDTF">2019-01-10T07:44:33Z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