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850"/>
        <w:gridCol w:w="226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restart"/>
            <w:shd w:val="clear" w:color="auto" w:fill="auto"/>
            <w:vAlign w:val="center"/>
          </w:tcPr>
          <w:p>
            <w:pPr>
              <w:pStyle w:val="4"/>
              <w:spacing w:beforeLines="50"/>
              <w:rPr>
                <w:color w:val="000000" w:themeColor="text1"/>
                <w:sz w:val="21"/>
                <w:szCs w:val="21"/>
                <w:highlight w:val="none"/>
              </w:rPr>
            </w:pPr>
            <w:r>
              <w:rPr>
                <w:color w:val="000000" w:themeColor="text1"/>
                <w:sz w:val="21"/>
                <w:szCs w:val="21"/>
                <w:highlight w:val="none"/>
              </w:rPr>
              <w:drawing>
                <wp:inline distT="0" distB="0" distL="0" distR="0">
                  <wp:extent cx="628650" cy="647700"/>
                  <wp:effectExtent l="19050" t="0" r="0" b="0"/>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noChangeArrowheads="1"/>
                          </pic:cNvPicPr>
                        </pic:nvPicPr>
                        <pic:blipFill>
                          <a:blip r:embed="rId4" cstate="print"/>
                          <a:srcRect/>
                          <a:stretch>
                            <a:fillRect/>
                          </a:stretch>
                        </pic:blipFill>
                        <pic:spPr>
                          <a:xfrm>
                            <a:off x="0" y="0"/>
                            <a:ext cx="628650" cy="647700"/>
                          </a:xfrm>
                          <a:prstGeom prst="rect">
                            <a:avLst/>
                          </a:prstGeom>
                          <a:noFill/>
                          <a:ln w="9525">
                            <a:noFill/>
                            <a:miter lim="800000"/>
                            <a:headEnd/>
                            <a:tailEnd/>
                          </a:ln>
                        </pic:spPr>
                      </pic:pic>
                    </a:graphicData>
                  </a:graphic>
                </wp:inline>
              </w:drawing>
            </w:r>
          </w:p>
        </w:tc>
        <w:tc>
          <w:tcPr>
            <w:tcW w:w="6755" w:type="dxa"/>
            <w:gridSpan w:val="4"/>
            <w:shd w:val="clear" w:color="auto" w:fill="auto"/>
            <w:vAlign w:val="center"/>
          </w:tcPr>
          <w:p>
            <w:pPr>
              <w:pStyle w:val="4"/>
              <w:spacing w:line="320" w:lineRule="exact"/>
              <w:rPr>
                <w:rFonts w:ascii="华文中宋" w:hAnsi="华文中宋" w:eastAsia="华文中宋"/>
                <w:b/>
                <w:color w:val="000000" w:themeColor="text1"/>
                <w:sz w:val="24"/>
                <w:szCs w:val="24"/>
                <w:highlight w:val="none"/>
              </w:rPr>
            </w:pPr>
            <w:r>
              <w:rPr>
                <w:rFonts w:ascii="Arial Unicode MS" w:hAnsi="Arial Unicode MS" w:eastAsia="Arial Unicode MS" w:cs="Arial Unicode MS"/>
                <w:b/>
                <w:color w:val="000000" w:themeColor="text1"/>
                <w:sz w:val="24"/>
                <w:szCs w:val="24"/>
                <w:highlight w:val="none"/>
              </w:rPr>
              <w:t>Hengyi Industries Sdn Bhd</w:t>
            </w:r>
            <w:r>
              <w:rPr>
                <w:rFonts w:hint="eastAsia" w:ascii="华文中宋" w:hAnsi="华文中宋" w:eastAsia="华文中宋"/>
                <w:b/>
                <w:color w:val="000000" w:themeColor="text1"/>
                <w:sz w:val="24"/>
                <w:szCs w:val="24"/>
                <w:highlight w:val="none"/>
              </w:rPr>
              <w:t xml:space="preserve">  </w:t>
            </w:r>
            <w:r>
              <w:rPr>
                <w:rFonts w:ascii="华文中宋" w:hAnsi="华文中宋" w:eastAsia="华文中宋"/>
                <w:b/>
                <w:color w:val="000000" w:themeColor="text1"/>
                <w:sz w:val="24"/>
                <w:szCs w:val="24"/>
                <w:highlight w:val="none"/>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6755" w:type="dxa"/>
            <w:gridSpan w:val="4"/>
            <w:shd w:val="clear" w:color="auto" w:fill="auto"/>
            <w:vAlign w:val="center"/>
          </w:tcPr>
          <w:p>
            <w:pPr>
              <w:pStyle w:val="4"/>
              <w:spacing w:line="320" w:lineRule="exact"/>
              <w:rPr>
                <w:rFonts w:ascii="Arial Unicode MS" w:hAnsi="Arial Unicode MS" w:eastAsia="Arial Unicode MS" w:cs="Arial Unicode MS"/>
                <w:b/>
                <w:color w:val="000000" w:themeColor="text1"/>
                <w:sz w:val="24"/>
                <w:szCs w:val="24"/>
                <w:highlight w:val="none"/>
              </w:rPr>
            </w:pPr>
            <w:r>
              <w:rPr>
                <w:rFonts w:hint="eastAsia" w:ascii="Arial Unicode MS" w:hAnsi="Arial Unicode MS" w:eastAsia="Arial Unicode MS" w:cs="Arial Unicode MS"/>
                <w:b/>
                <w:color w:val="000000" w:themeColor="text1"/>
                <w:sz w:val="24"/>
                <w:szCs w:val="24"/>
                <w:highlight w:val="none"/>
              </w:rPr>
              <w:t>HSE Monthly Work Report/</w:t>
            </w:r>
          </w:p>
          <w:p>
            <w:pPr>
              <w:pStyle w:val="4"/>
              <w:spacing w:line="320" w:lineRule="exact"/>
              <w:rPr>
                <w:rFonts w:ascii="Arial Unicode MS" w:hAnsi="Arial Unicode MS" w:eastAsia="Arial Unicode MS" w:cs="Arial Unicode MS"/>
                <w:b/>
                <w:color w:val="000000" w:themeColor="text1"/>
                <w:sz w:val="24"/>
                <w:szCs w:val="24"/>
                <w:highlight w:val="none"/>
                <w:lang w:val="en-GB"/>
              </w:rPr>
            </w:pPr>
            <w:r>
              <w:rPr>
                <w:rFonts w:hint="eastAsia" w:ascii="Arial Unicode MS" w:hAnsi="Arial Unicode MS" w:eastAsia="Arial Unicode MS" w:cs="Arial Unicode MS"/>
                <w:b/>
                <w:color w:val="000000" w:themeColor="text1"/>
                <w:sz w:val="24"/>
                <w:szCs w:val="24"/>
                <w:highlight w:val="none"/>
              </w:rPr>
              <w:t>HSE月度工作汇报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1701" w:type="dxa"/>
            <w:shd w:val="clear" w:color="auto" w:fill="auto"/>
            <w:vAlign w:val="center"/>
          </w:tcPr>
          <w:p>
            <w:pPr>
              <w:pStyle w:val="4"/>
              <w:spacing w:line="240" w:lineRule="exact"/>
              <w:rPr>
                <w:rFonts w:ascii="Arial Unicode MS" w:hAnsi="Arial Unicode MS"/>
                <w:color w:val="000000" w:themeColor="text1"/>
                <w:sz w:val="21"/>
                <w:szCs w:val="21"/>
                <w:highlight w:val="none"/>
              </w:rPr>
            </w:pPr>
            <w:r>
              <w:rPr>
                <w:rFonts w:ascii="Arial Unicode MS" w:hAnsi="Arial Unicode MS"/>
                <w:color w:val="000000" w:themeColor="text1"/>
                <w:spacing w:val="-4"/>
                <w:sz w:val="21"/>
                <w:szCs w:val="21"/>
                <w:highlight w:val="none"/>
              </w:rPr>
              <w:t xml:space="preserve">Record </w:t>
            </w:r>
            <w:r>
              <w:rPr>
                <w:rFonts w:hint="eastAsia" w:ascii="Arial Unicode MS" w:hAnsi="Arial Unicode MS"/>
                <w:color w:val="000000" w:themeColor="text1"/>
                <w:spacing w:val="-4"/>
                <w:sz w:val="21"/>
                <w:szCs w:val="21"/>
                <w:highlight w:val="none"/>
              </w:rPr>
              <w:t>.</w:t>
            </w:r>
            <w:r>
              <w:rPr>
                <w:rFonts w:ascii="Arial Unicode MS" w:hAnsi="Arial Unicode MS"/>
                <w:color w:val="000000" w:themeColor="text1"/>
                <w:spacing w:val="-4"/>
                <w:sz w:val="21"/>
                <w:szCs w:val="21"/>
                <w:highlight w:val="none"/>
              </w:rPr>
              <w:t>No.</w:t>
            </w:r>
          </w:p>
        </w:tc>
        <w:tc>
          <w:tcPr>
            <w:tcW w:w="3118" w:type="dxa"/>
            <w:gridSpan w:val="2"/>
            <w:shd w:val="clear" w:color="auto" w:fill="auto"/>
            <w:vAlign w:val="center"/>
          </w:tcPr>
          <w:p>
            <w:pPr>
              <w:pStyle w:val="4"/>
              <w:spacing w:line="240" w:lineRule="exact"/>
              <w:rPr>
                <w:rFonts w:hint="default" w:ascii="Arial Unicode MS" w:hAnsi="Arial Unicode MS" w:eastAsia="黑体"/>
                <w:color w:val="000000" w:themeColor="text1"/>
                <w:spacing w:val="-4"/>
                <w:sz w:val="21"/>
                <w:szCs w:val="21"/>
                <w:highlight w:val="none"/>
                <w:lang w:val="en-US" w:eastAsia="zh-CN"/>
              </w:rPr>
            </w:pPr>
            <w:r>
              <w:rPr>
                <w:rFonts w:hint="eastAsia" w:ascii="Arial Unicode MS" w:hAnsi="Arial Unicode MS" w:eastAsia="黑体"/>
                <w:color w:val="000000" w:themeColor="text1"/>
                <w:spacing w:val="-6"/>
                <w:sz w:val="21"/>
                <w:szCs w:val="21"/>
                <w:highlight w:val="none"/>
              </w:rPr>
              <w:t>HYBN-T6-XX-0001-20</w:t>
            </w:r>
            <w:r>
              <w:rPr>
                <w:rFonts w:hint="eastAsia" w:ascii="Arial Unicode MS" w:hAnsi="Arial Unicode MS" w:eastAsia="黑体"/>
                <w:color w:val="000000" w:themeColor="text1"/>
                <w:spacing w:val="-6"/>
                <w:sz w:val="21"/>
                <w:szCs w:val="21"/>
                <w:highlight w:val="none"/>
                <w:lang w:val="en-US" w:eastAsia="zh-CN"/>
              </w:rPr>
              <w:t>21</w:t>
            </w:r>
          </w:p>
        </w:tc>
        <w:tc>
          <w:tcPr>
            <w:tcW w:w="1936" w:type="dxa"/>
            <w:shd w:val="clear" w:color="auto" w:fill="auto"/>
            <w:vAlign w:val="center"/>
          </w:tcPr>
          <w:p>
            <w:pPr>
              <w:tabs>
                <w:tab w:val="left" w:pos="615"/>
              </w:tabs>
              <w:spacing w:line="240" w:lineRule="exact"/>
              <w:jc w:val="center"/>
              <w:rPr>
                <w:rFonts w:hint="default" w:ascii="Arial Unicode MS" w:hAnsi="Arial Unicode MS" w:eastAsia="Arial Unicode MS"/>
                <w:color w:val="000000" w:themeColor="text1"/>
                <w:szCs w:val="21"/>
                <w:highlight w:val="none"/>
                <w:lang w:val="en-US" w:eastAsia="zh-CN"/>
              </w:rPr>
            </w:pPr>
            <w:r>
              <w:rPr>
                <w:rFonts w:ascii="Arial Unicode MS" w:hAnsi="Arial Unicode MS" w:eastAsia="Arial Unicode MS" w:cs="Arial Unicode MS"/>
                <w:color w:val="000000" w:themeColor="text1"/>
                <w:szCs w:val="21"/>
                <w:highlight w:val="none"/>
              </w:rPr>
              <w:t xml:space="preserve">Page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color w:val="000000" w:themeColor="text1"/>
                <w:szCs w:val="21"/>
                <w:highlight w:val="none"/>
              </w:rPr>
              <w:fldChar w:fldCharType="begin"/>
            </w:r>
            <w:r>
              <w:rPr>
                <w:rFonts w:ascii="Arial Unicode MS" w:hAnsi="Arial Unicode MS" w:eastAsia="Arial Unicode MS" w:cs="Arial Unicode MS"/>
                <w:color w:val="000000" w:themeColor="text1"/>
                <w:szCs w:val="21"/>
                <w:highlight w:val="none"/>
              </w:rPr>
              <w:instrText xml:space="preserve">PAGE  \* Arabic  \* MERGEFORMAT</w:instrText>
            </w:r>
            <w:r>
              <w:rPr>
                <w:rFonts w:ascii="Arial Unicode MS" w:hAnsi="Arial Unicode MS" w:eastAsia="Arial Unicode MS" w:cs="Arial Unicode MS"/>
                <w:color w:val="000000" w:themeColor="text1"/>
                <w:szCs w:val="21"/>
                <w:highlight w:val="none"/>
              </w:rPr>
              <w:fldChar w:fldCharType="separate"/>
            </w:r>
            <w:r>
              <w:rPr>
                <w:rFonts w:ascii="Arial Unicode MS" w:hAnsi="Arial Unicode MS" w:eastAsia="Arial Unicode MS" w:cs="Arial Unicode MS"/>
                <w:color w:val="000000" w:themeColor="text1"/>
                <w:szCs w:val="21"/>
                <w:highlight w:val="none"/>
                <w:lang w:val="zh-CN"/>
              </w:rPr>
              <w:t>1</w:t>
            </w:r>
            <w:r>
              <w:rPr>
                <w:rFonts w:ascii="Arial Unicode MS" w:hAnsi="Arial Unicode MS" w:eastAsia="Arial Unicode MS" w:cs="Arial Unicode MS"/>
                <w:color w:val="000000" w:themeColor="text1"/>
                <w:szCs w:val="21"/>
                <w:highlight w:val="none"/>
              </w:rPr>
              <w:fldChar w:fldCharType="end"/>
            </w:r>
            <w:r>
              <w:rPr>
                <w:rFonts w:ascii="Arial Unicode MS" w:hAnsi="Arial Unicode MS" w:eastAsia="Arial Unicode MS" w:cs="Arial Unicode MS"/>
                <w:color w:val="000000" w:themeColor="text1"/>
                <w:szCs w:val="21"/>
                <w:highlight w:val="none"/>
              </w:rPr>
              <w:t xml:space="preserv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bCs/>
                <w:color w:val="000000" w:themeColor="text1"/>
                <w:szCs w:val="21"/>
                <w:highlight w:val="none"/>
              </w:rPr>
              <w:t xml:space="preserve">of </w:t>
            </w:r>
            <w:r>
              <w:rPr>
                <w:rFonts w:ascii="Arial Unicode MS" w:hAnsi="Arial Unicode MS" w:eastAsia="Arial Unicode MS" w:cs="Arial Unicode MS"/>
                <w:color w:val="000000" w:themeColor="text1"/>
                <w:szCs w:val="21"/>
                <w:highlight w:val="none"/>
                <w:lang w:val="zh-CN"/>
              </w:rPr>
              <w:t xml:space="preserve"> </w:t>
            </w:r>
            <w:r>
              <w:rPr>
                <w:rFonts w:hint="eastAsia" w:ascii="Arial Unicode MS" w:hAnsi="Arial Unicode MS" w:eastAsia="Arial Unicode MS" w:cs="Arial Unicode MS"/>
                <w:color w:val="000000" w:themeColor="text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Department /</w:t>
            </w:r>
          </w:p>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color w:val="000000" w:themeColor="text1"/>
                <w:sz w:val="21"/>
                <w:szCs w:val="21"/>
                <w:highlight w:val="none"/>
              </w:rPr>
              <w:t>部门</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炼油二部</w:t>
            </w:r>
          </w:p>
        </w:tc>
        <w:tc>
          <w:tcPr>
            <w:tcW w:w="2268" w:type="dxa"/>
            <w:shd w:val="clear" w:color="auto" w:fill="auto"/>
            <w:vAlign w:val="center"/>
          </w:tcPr>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Fill in the person/</w:t>
            </w:r>
          </w:p>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填写人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rPr>
              <w:t xml:space="preserve"> </w:t>
            </w:r>
            <w:r>
              <w:rPr>
                <w:rFonts w:hint="eastAsia" w:ascii="Arial Unicode MS" w:hAnsi="Arial Unicode MS" w:eastAsia="宋体"/>
                <w:color w:val="000000" w:themeColor="text1"/>
                <w:sz w:val="21"/>
                <w:szCs w:val="21"/>
                <w:highlight w:val="none"/>
                <w:lang w:val="en-US" w:eastAsia="zh-CN"/>
              </w:rPr>
              <w:t>陆新宝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Date/时间</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lang w:val="en-US" w:eastAsia="zh-CN"/>
              </w:rPr>
              <w:t>5</w:t>
            </w:r>
            <w:r>
              <w:rPr>
                <w:rFonts w:hint="eastAsia" w:ascii="Arial Unicode MS" w:hAnsi="Arial Unicode MS" w:eastAsia="宋体"/>
                <w:color w:val="000000" w:themeColor="text1"/>
                <w:sz w:val="21"/>
                <w:szCs w:val="21"/>
                <w:highlight w:val="none"/>
              </w:rPr>
              <w:t>月</w:t>
            </w:r>
            <w:r>
              <w:rPr>
                <w:rFonts w:hint="eastAsia" w:ascii="Arial Unicode MS" w:hAnsi="Arial Unicode MS" w:eastAsia="宋体"/>
                <w:color w:val="000000" w:themeColor="text1"/>
                <w:sz w:val="21"/>
                <w:szCs w:val="21"/>
                <w:highlight w:val="none"/>
                <w:lang w:val="en-US" w:eastAsia="zh-CN"/>
              </w:rPr>
              <w:t>31</w:t>
            </w:r>
            <w:r>
              <w:rPr>
                <w:rFonts w:hint="eastAsia" w:ascii="Arial Unicode MS" w:hAnsi="Arial Unicode MS" w:eastAsia="宋体"/>
                <w:color w:val="000000" w:themeColor="text1"/>
                <w:sz w:val="21"/>
                <w:szCs w:val="21"/>
                <w:highlight w:val="none"/>
              </w:rPr>
              <w:t>日</w:t>
            </w:r>
          </w:p>
        </w:tc>
        <w:tc>
          <w:tcPr>
            <w:tcW w:w="2268"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Department Manager/部门负责人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lang w:val="en-US" w:eastAsia="zh-CN"/>
              </w:rPr>
              <w:t>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5" w:type="dxa"/>
            <w:gridSpan w:val="5"/>
            <w:shd w:val="clear" w:color="auto" w:fill="auto"/>
            <w:vAlign w:val="center"/>
          </w:tcPr>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炼油二部5月HSE工作主要围绕柴油加氢石脑油脱硫剂罐D204卸剂清罐受限空间作业安全管控；加裂现场脚手架搭设拆除；下雨天装置清污分流情况检查；更换装置现场部分灭火器标识码；梳理装置现场各竖梯、斜梯和平台存在的安全隐患，提示行走安全尤其是雨天；班组安全活动讨论学习和文莱同事培训验证考试、新入职实习的文莱员工安全培训教育和应急逃生面罩配放；文莱员工在高风险作业监护方面的培训和“双盲”测试等工作开展。依据HSE部《绩效考核细则》修订本部门《绩效考核细则》；迎接文莱政府部门检查和公司HSE月度检查；确保每日高风险作业安全受控并及时上报，</w:t>
            </w:r>
            <w:r>
              <w:rPr>
                <w:rFonts w:hint="eastAsia" w:ascii="宋体" w:hAnsi="宋体" w:eastAsia="宋体" w:cs="宋体"/>
                <w:b w:val="0"/>
                <w:bCs/>
                <w:color w:val="000000" w:themeColor="text1"/>
                <w:sz w:val="21"/>
                <w:szCs w:val="21"/>
                <w:highlight w:val="none"/>
                <w:lang w:val="en-US" w:eastAsia="zh-CN"/>
              </w:rPr>
              <w:t>确保部门各项HSE工作安全有效推进。HSE工作具体从以下几个方面开展：</w:t>
            </w:r>
          </w:p>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一、</w:t>
            </w:r>
            <w:r>
              <w:rPr>
                <w:rFonts w:hint="eastAsia" w:ascii="宋体" w:hAnsi="宋体" w:eastAsia="宋体" w:cs="宋体"/>
                <w:b/>
                <w:color w:val="000000" w:themeColor="text1"/>
                <w:sz w:val="21"/>
                <w:szCs w:val="21"/>
                <w:highlight w:val="none"/>
              </w:rPr>
              <w:t>H</w:t>
            </w:r>
            <w:r>
              <w:rPr>
                <w:rFonts w:ascii="宋体" w:hAnsi="宋体" w:eastAsia="宋体" w:cs="宋体"/>
                <w:b/>
                <w:color w:val="000000" w:themeColor="text1"/>
                <w:sz w:val="21"/>
                <w:szCs w:val="21"/>
                <w:highlight w:val="none"/>
              </w:rPr>
              <w:t>SE</w:t>
            </w:r>
            <w:r>
              <w:rPr>
                <w:rFonts w:hint="eastAsia" w:ascii="宋体" w:hAnsi="宋体" w:eastAsia="宋体" w:cs="宋体"/>
                <w:b/>
                <w:color w:val="000000" w:themeColor="text1"/>
                <w:sz w:val="21"/>
                <w:szCs w:val="21"/>
                <w:highlight w:val="none"/>
                <w:lang w:val="en-US" w:eastAsia="zh-CN"/>
              </w:rPr>
              <w:t>综合管理工作</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1、HSE设施</w:t>
            </w:r>
          </w:p>
          <w:p>
            <w:pPr>
              <w:pStyle w:val="14"/>
              <w:numPr>
                <w:ilvl w:val="0"/>
                <w:numId w:val="0"/>
              </w:numPr>
              <w:ind w:left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炼油二部HSE设施共计三大类15种，具体见明细表：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863"/>
              <w:gridCol w:w="1442"/>
              <w:gridCol w:w="740"/>
              <w:gridCol w:w="681"/>
              <w:gridCol w:w="928"/>
              <w:gridCol w:w="859"/>
              <w:gridCol w:w="9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tcBorders>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类别</w:t>
                  </w:r>
                </w:p>
              </w:tc>
              <w:tc>
                <w:tcPr>
                  <w:tcW w:w="1442"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HSE设施名称</w:t>
                  </w:r>
                </w:p>
              </w:tc>
              <w:tc>
                <w:tcPr>
                  <w:tcW w:w="740"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加裂装置</w:t>
                  </w:r>
                </w:p>
              </w:tc>
              <w:tc>
                <w:tcPr>
                  <w:tcW w:w="681"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气分装置</w:t>
                  </w:r>
                </w:p>
              </w:tc>
              <w:tc>
                <w:tcPr>
                  <w:tcW w:w="928"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煤柴油装置</w:t>
                  </w:r>
                </w:p>
              </w:tc>
              <w:tc>
                <w:tcPr>
                  <w:tcW w:w="859"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合计</w:t>
                  </w:r>
                </w:p>
              </w:tc>
              <w:tc>
                <w:tcPr>
                  <w:tcW w:w="980"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完好率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气防类</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固定式可燃气报警器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48</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42</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110</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固定式硫化氢报警器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52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45</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固定式氢气报警器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固定式氨气报警器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区域声光报警器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火焰探测器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便携式四合一检测仪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FF0000"/>
                      <w:sz w:val="13"/>
                      <w:szCs w:val="13"/>
                      <w:highlight w:val="none"/>
                      <w:u w:val="none"/>
                      <w:lang w:val="en-US" w:eastAsia="zh-CN"/>
                    </w:rPr>
                    <w:t>90.9%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便携式氢气检测仪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空气呼吸器</w:t>
                  </w:r>
                </w:p>
              </w:tc>
              <w:tc>
                <w:tcPr>
                  <w:tcW w:w="142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859"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安全类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洗眼器</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风向标</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消防蒸汽环</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31</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环保类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污水提升泵</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烟囱</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bl>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p>
          <w:p>
            <w:pPr>
              <w:pStyle w:val="4"/>
              <w:numPr>
                <w:ilvl w:val="0"/>
                <w:numId w:val="0"/>
              </w:numPr>
              <w:spacing w:line="320" w:lineRule="exact"/>
              <w:ind w:left="421" w:leftChars="0"/>
              <w:jc w:val="left"/>
              <w:rPr>
                <w:rFonts w:hint="eastAsia" w:ascii="宋体" w:hAnsi="宋体" w:eastAsia="宋体" w:cs="宋体"/>
                <w:b w:val="0"/>
                <w:bCs/>
                <w:color w:val="000000" w:themeColor="text1"/>
                <w:kern w:val="2"/>
                <w:sz w:val="21"/>
                <w:szCs w:val="21"/>
                <w:highlight w:val="none"/>
                <w:lang w:val="en-US" w:eastAsia="zh-CN" w:bidi="ar-SA"/>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000000" w:themeColor="text1"/>
                <w:kern w:val="2"/>
                <w:sz w:val="21"/>
                <w:szCs w:val="21"/>
                <w:highlight w:val="none"/>
                <w:lang w:val="en-US" w:eastAsia="zh-CN" w:bidi="ar-SA"/>
              </w:rPr>
              <w:t xml:space="preserve">部门本月各类HSE设施存在/遗留2项问题，具体明细如下：  </w:t>
            </w:r>
          </w:p>
          <w:p>
            <w:pPr>
              <w:pStyle w:val="4"/>
              <w:numPr>
                <w:ilvl w:val="0"/>
                <w:numId w:val="0"/>
              </w:numPr>
              <w:spacing w:line="320" w:lineRule="exact"/>
              <w:ind w:left="421" w:leftChars="0"/>
              <w:jc w:val="left"/>
              <w:rPr>
                <w:rFonts w:hint="default" w:ascii="宋体" w:hAnsi="宋体" w:eastAsia="宋体" w:cs="宋体"/>
                <w:b w:val="0"/>
                <w:bCs/>
                <w:color w:val="000000" w:themeColor="text1"/>
                <w:kern w:val="2"/>
                <w:sz w:val="21"/>
                <w:szCs w:val="21"/>
                <w:highlight w:val="none"/>
                <w:vertAlign w:val="baseline"/>
                <w:lang w:val="en-US" w:eastAsia="zh-CN" w:bidi="ar-SA"/>
              </w:rPr>
            </w:pPr>
            <w:r>
              <w:rPr>
                <w:rFonts w:hint="eastAsia" w:ascii="宋体" w:hAnsi="宋体" w:eastAsia="宋体" w:cs="宋体"/>
                <w:b w:val="0"/>
                <w:bCs/>
                <w:color w:val="000000" w:themeColor="text1"/>
                <w:kern w:val="2"/>
                <w:sz w:val="21"/>
                <w:szCs w:val="21"/>
                <w:highlight w:val="none"/>
                <w:lang w:val="en-US" w:eastAsia="zh-CN" w:bidi="ar-SA"/>
              </w:rPr>
              <w:t xml:space="preserve">   </w:t>
            </w:r>
          </w:p>
          <w:tbl>
            <w:tblPr>
              <w:tblStyle w:val="6"/>
              <w:tblW w:w="6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16"/>
              <w:gridCol w:w="1328"/>
              <w:gridCol w:w="595"/>
              <w:gridCol w:w="2216"/>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序号</w:t>
                  </w:r>
                </w:p>
              </w:tc>
              <w:tc>
                <w:tcPr>
                  <w:tcW w:w="1116"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设备名称</w:t>
                  </w:r>
                </w:p>
              </w:tc>
              <w:tc>
                <w:tcPr>
                  <w:tcW w:w="132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问题描述</w:t>
                  </w:r>
                </w:p>
              </w:tc>
              <w:tc>
                <w:tcPr>
                  <w:tcW w:w="595"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数量</w:t>
                  </w:r>
                </w:p>
              </w:tc>
              <w:tc>
                <w:tcPr>
                  <w:tcW w:w="2216"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原因分析</w:t>
                  </w:r>
                </w:p>
              </w:tc>
              <w:tc>
                <w:tcPr>
                  <w:tcW w:w="1162"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1116"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固定式硫化氢报警器</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加氢装置报警1次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加裂气分报警9次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c>
                <w:tcPr>
                  <w:tcW w:w="59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10</w:t>
                  </w:r>
                </w:p>
              </w:tc>
              <w:tc>
                <w:tcPr>
                  <w:tcW w:w="221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加氢双盲测试报警1次；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加裂AT-0016更换探头报警2次；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加裂D106界控阀检修报警1次；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加裂P201定期脱水报警1次；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加裂D213现场切液报警1次；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加裂酸性水采样报警2次；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气分因消防水管网压力低雨淋阀压力开关报警1次；</w:t>
                  </w:r>
                </w:p>
              </w:tc>
              <w:tc>
                <w:tcPr>
                  <w:tcW w:w="11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各类报警均恢复正常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1116"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便携式四合一检测仪</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仪器故障</w:t>
                  </w:r>
                </w:p>
              </w:tc>
              <w:tc>
                <w:tcPr>
                  <w:tcW w:w="59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4</w:t>
                  </w:r>
                </w:p>
              </w:tc>
              <w:tc>
                <w:tcPr>
                  <w:tcW w:w="2216"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传感器损坏2台</w:t>
                  </w:r>
                </w:p>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电池失效1台</w:t>
                  </w:r>
                </w:p>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氧传感器故障1台</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7月24日,11月2日，3月24日回国维修共3台。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5月13日返回维修好的1台</w:t>
                  </w:r>
                </w:p>
              </w:tc>
            </w:tr>
          </w:tbl>
          <w:p>
            <w:pPr>
              <w:pStyle w:val="4"/>
              <w:numPr>
                <w:ilvl w:val="0"/>
                <w:numId w:val="0"/>
              </w:numPr>
              <w:spacing w:line="320" w:lineRule="exact"/>
              <w:jc w:val="left"/>
              <w:rPr>
                <w:rFonts w:hint="default" w:ascii="宋体" w:hAnsi="宋体" w:eastAsia="宋体" w:cs="宋体"/>
                <w:b w:val="0"/>
                <w:bCs/>
                <w:color w:val="000000" w:themeColor="text1"/>
                <w:kern w:val="2"/>
                <w:sz w:val="21"/>
                <w:szCs w:val="21"/>
                <w:highlight w:val="none"/>
                <w:lang w:val="en-US" w:eastAsia="zh-CN" w:bidi="ar-SA"/>
              </w:rPr>
            </w:pP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从存在问题来看，加裂装置现场固报本月报警次数（9次），集中在采样和切液，主要原因是酸性水采样、机泵定期脱水和液化气脱硫罐D213现场排液引起。</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现场固报报警真实发现泄漏的主要还是硫化氢报警，因此要求在存在有硫化氢中毒风险的作业，特别是加裂酸性水取样作业，要求各班组按要求佩戴空呼进行取样，经检查各班组均能按要求执行。</w:t>
            </w:r>
          </w:p>
          <w:p>
            <w:pPr>
              <w:pStyle w:val="4"/>
              <w:numPr>
                <w:ilvl w:val="0"/>
                <w:numId w:val="0"/>
              </w:numPr>
              <w:spacing w:line="320" w:lineRule="exact"/>
              <w:ind w:firstLine="420" w:firstLineChars="200"/>
              <w:jc w:val="left"/>
              <w:rPr>
                <w:rFonts w:hint="default"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加裂机泵和液化气脱硫罐D213定期脱水切液工作开始以来陆续引起现场硫化氢报警，经检查各班组人员均存在侥幸心理和麻痹大意的问题。一是在机泵脱水和D213在检查排液情况时现场阀门开度过大导致含硫液化气外放；二是在脱水和排液后未及时关闭导淋阀门；三是部分机泵现场脱水持续时间很长，人员经验和耐心都不足，频繁多次开关明排导淋查看脱水效果进而引起液化气外放，甚至在加裂四班还出现外操班长一边开着导淋排放液化气一边手机拍照的严重违章情况，充分说明班组部分人员安全意识淡薄。目前机泵定期脱水工作要求班组在脱水过程中绝对不能离人，前期在班组长带领下脱水，导淋阀门控制在较小开度，在开导淋检查脱水情况时必须佩带空呼，现场有动火作业时禁止脱水切液。佩戴空呼虽然能保护脱水排液人员安全，当开明排导淋高浓度硫化氢外放后可能对周围其他无防护的人员造成中毒伤害。另外也要求工艺和设备专业在安排工作过程中要充分辨识风险、提示风险、防范风险共同检查安全措施落实情况。</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部门所有仪器5月底的效验有效期到期，不符合目前公司半年一校验的规定但是符合国家一年一校验的规定。目前在现场配置的各报警仪都完好可以正常使用。另外标准气体六月底到货，安排6月初全部校准一次。。</w:t>
            </w:r>
          </w:p>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2、HSE培训</w:t>
            </w:r>
          </w:p>
          <w:p>
            <w:pPr>
              <w:pStyle w:val="4"/>
              <w:numPr>
                <w:ilvl w:val="0"/>
                <w:numId w:val="0"/>
              </w:numPr>
              <w:spacing w:line="320" w:lineRule="exact"/>
              <w:ind w:left="421" w:leftChars="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炼油二部5月份培训计划见下表：</w:t>
            </w:r>
          </w:p>
          <w:tbl>
            <w:tblPr>
              <w:tblStyle w:val="5"/>
              <w:tblW w:w="751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1462"/>
              <w:gridCol w:w="759"/>
              <w:gridCol w:w="763"/>
              <w:gridCol w:w="764"/>
              <w:gridCol w:w="3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培训时间</w:t>
                  </w:r>
                </w:p>
              </w:tc>
              <w:tc>
                <w:tcPr>
                  <w:tcW w:w="759"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cs="宋体"/>
                      <w:b/>
                      <w:i w:val="0"/>
                      <w:color w:val="000000" w:themeColor="text1"/>
                      <w:kern w:val="0"/>
                      <w:sz w:val="13"/>
                      <w:szCs w:val="13"/>
                      <w:highlight w:val="none"/>
                      <w:u w:val="none"/>
                      <w:lang w:val="en-US" w:eastAsia="zh-CN" w:bidi="ar"/>
                    </w:rPr>
                    <w:t>装置</w:t>
                  </w:r>
                </w:p>
              </w:tc>
              <w:tc>
                <w:tcPr>
                  <w:tcW w:w="763"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地点</w:t>
                  </w:r>
                </w:p>
              </w:tc>
              <w:tc>
                <w:tcPr>
                  <w:tcW w:w="764"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类型</w:t>
                  </w:r>
                </w:p>
              </w:tc>
              <w:tc>
                <w:tcPr>
                  <w:tcW w:w="3768" w:type="dxa"/>
                  <w:tcBorders>
                    <w:left w:val="single" w:color="000000" w:sz="4" w:space="0"/>
                    <w:bottom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atLeast"/>
                <w:jc w:val="center"/>
              </w:trPr>
              <w:tc>
                <w:tcPr>
                  <w:tcW w:w="1462"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05</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煤柴油加氢装置</w:t>
                  </w:r>
                </w:p>
              </w:tc>
              <w:tc>
                <w:tcPr>
                  <w:tcW w:w="76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装置现场、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会议室</w:t>
                  </w:r>
                </w:p>
              </w:tc>
              <w:tc>
                <w:tcPr>
                  <w:tcW w:w="76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班组HSE活动</w:t>
                  </w:r>
                  <w:r>
                    <w:rPr>
                      <w:rFonts w:hint="eastAsia" w:ascii="宋体" w:hAnsi="宋体" w:cs="宋体"/>
                      <w:i w:val="0"/>
                      <w:color w:val="auto"/>
                      <w:kern w:val="0"/>
                      <w:sz w:val="13"/>
                      <w:szCs w:val="13"/>
                      <w:highlight w:val="none"/>
                      <w:u w:val="none"/>
                      <w:lang w:val="en-US" w:eastAsia="zh-CN" w:bidi="ar"/>
                    </w:rPr>
                    <w:t>和综合应急演练</w:t>
                  </w:r>
                </w:p>
              </w:tc>
              <w:tc>
                <w:tcPr>
                  <w:tcW w:w="3768" w:type="dxa"/>
                  <w:vMerge w:val="restart"/>
                  <w:tcBorders>
                    <w:top w:val="single" w:color="000000" w:sz="4" w:space="0"/>
                    <w:lef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1）4月份HSE工作月报。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2）航煤加氢加热炉F101连锁事件和‘3.3灵活焦化装置过滤器SR102着火事故报告’。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3）视频一个：《动火作业着火爆炸案例》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4）危险化学品的危害以及泄漏造成人员受伤应急处置方法。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5）炼油二部HSE岗位职责和JHA小组成员职责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6）原料油过滤器法兰大量泄漏环保处置演练。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7) 逃生面罩配置通告</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atLeast"/>
                <w:jc w:val="center"/>
              </w:trPr>
              <w:tc>
                <w:tcPr>
                  <w:tcW w:w="1462" w:type="dxa"/>
                  <w:tcBorders>
                    <w:top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05</w:t>
                  </w:r>
                </w:p>
              </w:tc>
              <w:tc>
                <w:tcPr>
                  <w:tcW w:w="759"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加裂气分装置</w:t>
                  </w:r>
                </w:p>
              </w:tc>
              <w:tc>
                <w:tcPr>
                  <w:tcW w:w="76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p>
              </w:tc>
              <w:tc>
                <w:tcPr>
                  <w:tcW w:w="76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p>
              </w:tc>
              <w:tc>
                <w:tcPr>
                  <w:tcW w:w="3768" w:type="dxa"/>
                  <w:vMerge w:val="continue"/>
                  <w:tcBorders>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3"/>
                      <w:szCs w:val="13"/>
                      <w:highlight w:val="none"/>
                      <w:u w:val="none"/>
                    </w:rPr>
                  </w:pPr>
                </w:p>
              </w:tc>
            </w:tr>
          </w:tbl>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煤柴油加氢装置：对班组在5月份的安全活动学习效果以及佩戴空呼况进行考试验证，无不合格人员。煤油加氢装置原料油过滤器SR101法兰大量泄漏综合应急演练。应急演练记录、试卷和成绩表汇总留档。依据2021年HSE培训计划对加氢四个班组10位文莱员工进行量化打分。考试成绩和点评材料翻译成中英文提交。</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p>
          <w:p>
            <w:pPr>
              <w:pStyle w:val="4"/>
              <w:numPr>
                <w:ilvl w:val="0"/>
                <w:numId w:val="0"/>
              </w:numPr>
              <w:spacing w:line="320" w:lineRule="exact"/>
              <w:ind w:firstLine="360" w:firstLineChars="200"/>
              <w:jc w:val="left"/>
              <w:rPr>
                <w:rFonts w:hint="eastAsia" w:ascii="宋体" w:hAnsi="宋体" w:eastAsia="宋体" w:cs="宋体"/>
                <w:b w:val="0"/>
                <w:bCs/>
                <w:color w:val="000000" w:themeColor="text1"/>
                <w:sz w:val="21"/>
                <w:szCs w:val="21"/>
                <w:highlight w:val="none"/>
                <w:lang w:val="en-US" w:eastAsia="zh-CN"/>
              </w:rPr>
            </w:pPr>
            <w:r>
              <w:drawing>
                <wp:anchor distT="0" distB="0" distL="114300" distR="114300" simplePos="0" relativeHeight="251659264" behindDoc="0" locked="0" layoutInCell="1" allowOverlap="1">
                  <wp:simplePos x="0" y="0"/>
                  <wp:positionH relativeFrom="column">
                    <wp:posOffset>228600</wp:posOffset>
                  </wp:positionH>
                  <wp:positionV relativeFrom="paragraph">
                    <wp:posOffset>-923290</wp:posOffset>
                  </wp:positionV>
                  <wp:extent cx="5140325" cy="1713230"/>
                  <wp:effectExtent l="0" t="0" r="3175" b="127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140325" cy="1713230"/>
                          </a:xfrm>
                          <a:prstGeom prst="rect">
                            <a:avLst/>
                          </a:prstGeom>
                          <a:noFill/>
                          <a:ln>
                            <a:noFill/>
                          </a:ln>
                        </pic:spPr>
                      </pic:pic>
                    </a:graphicData>
                  </a:graphic>
                </wp:anchor>
              </w:drawing>
            </w:r>
            <w:r>
              <w:rPr>
                <w:rFonts w:hint="eastAsia" w:asciiTheme="minorEastAsia" w:hAnsiTheme="minorEastAsia" w:cstheme="minorEastAsia"/>
                <w:color w:val="000000" w:themeColor="text1"/>
                <w:sz w:val="21"/>
                <w:szCs w:val="21"/>
                <w:highlight w:val="none"/>
                <w:lang w:val="en-US" w:eastAsia="zh-CN"/>
              </w:rPr>
              <w:t>加裂气分装置：</w:t>
            </w:r>
            <w:r>
              <w:rPr>
                <w:rFonts w:hint="eastAsia" w:ascii="宋体" w:hAnsi="宋体" w:eastAsia="宋体" w:cs="宋体"/>
                <w:b w:val="0"/>
                <w:bCs/>
                <w:color w:val="000000" w:themeColor="text1"/>
                <w:sz w:val="21"/>
                <w:szCs w:val="21"/>
                <w:highlight w:val="none"/>
                <w:lang w:val="en-US" w:eastAsia="zh-CN"/>
              </w:rPr>
              <w:t>对班组在5月份的安全活动学习效果以及佩戴空呼况进行考试验证，无不合格人员。加氢裂化装置原料油过滤器SR101法兰大量泄漏综合应急演练，</w:t>
            </w:r>
            <w:r>
              <w:rPr>
                <w:rFonts w:hint="eastAsia" w:asciiTheme="minorEastAsia" w:hAnsiTheme="minorEastAsia" w:cstheme="minorEastAsia"/>
                <w:color w:val="auto"/>
                <w:sz w:val="21"/>
                <w:szCs w:val="21"/>
                <w:highlight w:val="none"/>
                <w:lang w:val="en-US" w:eastAsia="zh-CN"/>
              </w:rPr>
              <w:t>应急演练记录、</w:t>
            </w:r>
            <w:r>
              <w:rPr>
                <w:rFonts w:hint="eastAsia" w:asciiTheme="minorEastAsia" w:hAnsiTheme="minorEastAsia" w:cstheme="minorEastAsia"/>
                <w:color w:val="000000" w:themeColor="text1"/>
                <w:sz w:val="21"/>
                <w:szCs w:val="21"/>
                <w:highlight w:val="none"/>
                <w:lang w:val="en-US" w:eastAsia="zh-CN"/>
              </w:rPr>
              <w:t>试卷和成绩表汇总留档。</w:t>
            </w:r>
            <w:r>
              <w:rPr>
                <w:rFonts w:hint="eastAsia" w:ascii="宋体" w:hAnsi="宋体" w:eastAsia="宋体" w:cs="宋体"/>
                <w:b w:val="0"/>
                <w:bCs/>
                <w:color w:val="000000" w:themeColor="text1"/>
                <w:sz w:val="21"/>
                <w:szCs w:val="21"/>
                <w:highlight w:val="none"/>
                <w:lang w:val="en-US" w:eastAsia="zh-CN"/>
              </w:rPr>
              <w:t>依据2021年HSE培训计划对加裂四个班组10位文莱员工进行量化打分。考试成绩和点评材料翻译成中英文提交。</w:t>
            </w:r>
          </w:p>
          <w:p>
            <w:pPr>
              <w:pStyle w:val="4"/>
              <w:numPr>
                <w:ilvl w:val="0"/>
                <w:numId w:val="0"/>
              </w:numPr>
              <w:spacing w:line="320" w:lineRule="exact"/>
              <w:ind w:firstLine="360" w:firstLineChars="200"/>
              <w:jc w:val="left"/>
              <w:rPr>
                <w:rFonts w:hint="default" w:asciiTheme="minorEastAsia" w:hAnsiTheme="minorEastAsia" w:eastAsiaTheme="minorEastAsia" w:cstheme="minorEastAsia"/>
                <w:color w:val="000000" w:themeColor="text1"/>
                <w:kern w:val="2"/>
                <w:sz w:val="21"/>
                <w:szCs w:val="21"/>
                <w:highlight w:val="none"/>
                <w:lang w:val="en-US" w:eastAsia="zh-CN" w:bidi="ar-SA"/>
              </w:rPr>
            </w:pPr>
            <w:r>
              <w:drawing>
                <wp:anchor distT="0" distB="0" distL="114300" distR="114300" simplePos="0" relativeHeight="251660288" behindDoc="0" locked="0" layoutInCell="1" allowOverlap="1">
                  <wp:simplePos x="0" y="0"/>
                  <wp:positionH relativeFrom="column">
                    <wp:posOffset>31115</wp:posOffset>
                  </wp:positionH>
                  <wp:positionV relativeFrom="paragraph">
                    <wp:posOffset>87630</wp:posOffset>
                  </wp:positionV>
                  <wp:extent cx="5132705" cy="1437005"/>
                  <wp:effectExtent l="0" t="0" r="10795" b="1079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132705" cy="1437005"/>
                          </a:xfrm>
                          <a:prstGeom prst="rect">
                            <a:avLst/>
                          </a:prstGeom>
                          <a:noFill/>
                          <a:ln>
                            <a:noFill/>
                          </a:ln>
                        </pic:spPr>
                      </pic:pic>
                    </a:graphicData>
                  </a:graphic>
                </wp:anchor>
              </w:drawing>
            </w:r>
            <w:r>
              <w:rPr>
                <w:rFonts w:hint="eastAsia" w:asciiTheme="minorEastAsia" w:hAnsiTheme="minorEastAsia" w:cstheme="minorEastAsia"/>
                <w:color w:val="000000" w:themeColor="text1"/>
                <w:kern w:val="2"/>
                <w:sz w:val="21"/>
                <w:szCs w:val="21"/>
                <w:highlight w:val="none"/>
                <w:lang w:val="en-US" w:eastAsia="zh-CN" w:bidi="ar-SA"/>
              </w:rPr>
              <w:t>5月新入职实习的3位文莱籍员工经过公司级安全教育后，进行了部门级安全教育。到班组后班组安全教育，三级教育卡片填写完成存档。</w:t>
            </w:r>
          </w:p>
          <w:p>
            <w:pPr>
              <w:pStyle w:val="4"/>
              <w:numPr>
                <w:ilvl w:val="0"/>
                <w:numId w:val="0"/>
              </w:numPr>
              <w:spacing w:line="320" w:lineRule="exact"/>
              <w:ind w:firstLine="420" w:firstLineChars="200"/>
              <w:jc w:val="left"/>
              <w:rPr>
                <w:rFonts w:hint="default"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5月将本部门6月份安全学习计划上报HSE部。</w:t>
            </w: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3、HSE标识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炼油二部各类HSE标识统计表如下：</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p>
          <w:tbl>
            <w:tblPr>
              <w:tblStyle w:val="6"/>
              <w:tblW w:w="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07"/>
              <w:gridCol w:w="620"/>
              <w:gridCol w:w="12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标识类别</w:t>
                  </w:r>
                </w:p>
              </w:tc>
              <w:tc>
                <w:tcPr>
                  <w:tcW w:w="70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加裂</w:t>
                  </w:r>
                </w:p>
              </w:tc>
              <w:tc>
                <w:tcPr>
                  <w:tcW w:w="620"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气分</w:t>
                  </w:r>
                </w:p>
              </w:tc>
              <w:tc>
                <w:tcPr>
                  <w:tcW w:w="1223"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煤柴油</w:t>
                  </w:r>
                </w:p>
              </w:tc>
              <w:tc>
                <w:tcPr>
                  <w:tcW w:w="718"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禁止类标识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58</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警告</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85</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73</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 w:hRule="atLeast"/>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提示</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56</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环保标识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氮气提示</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default" w:ascii="宋体" w:hAnsi="宋体" w:eastAsia="宋体" w:cs="宋体"/>
                      <w:color w:val="000000" w:themeColor="text1"/>
                      <w:sz w:val="13"/>
                      <w:szCs w:val="13"/>
                      <w:highlight w:val="none"/>
                      <w:lang w:val="en-US" w:eastAsia="zh-CN"/>
                    </w:rPr>
                  </w:pPr>
                  <w:r>
                    <w:rPr>
                      <w:rFonts w:hint="eastAsia" w:ascii="宋体" w:hAnsi="宋体" w:eastAsia="宋体" w:cs="宋体"/>
                      <w:color w:val="000000" w:themeColor="text1"/>
                      <w:sz w:val="13"/>
                      <w:szCs w:val="13"/>
                      <w:highlight w:val="none"/>
                      <w:lang w:eastAsia="zh-CN"/>
                    </w:rPr>
                    <w:t>洗眼器提示</w:t>
                  </w:r>
                  <w:r>
                    <w:rPr>
                      <w:rFonts w:hint="eastAsia" w:ascii="宋体" w:hAnsi="宋体" w:eastAsia="宋体" w:cs="宋体"/>
                      <w:color w:val="000000" w:themeColor="text1"/>
                      <w:sz w:val="13"/>
                      <w:szCs w:val="13"/>
                      <w:highlight w:val="none"/>
                      <w:lang w:val="en-US" w:eastAsia="zh-CN"/>
                    </w:rPr>
                    <w:t>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val="en-US" w:eastAsia="zh-CN"/>
                    </w:rPr>
                    <w:t>装置</w:t>
                  </w:r>
                  <w:r>
                    <w:rPr>
                      <w:rFonts w:hint="eastAsia" w:ascii="宋体" w:hAnsi="宋体" w:eastAsia="宋体" w:cs="宋体"/>
                      <w:color w:val="000000" w:themeColor="text1"/>
                      <w:sz w:val="13"/>
                      <w:szCs w:val="13"/>
                      <w:highlight w:val="none"/>
                      <w:lang w:eastAsia="zh-CN"/>
                    </w:rPr>
                    <w:t>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职业卫生告示牌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本月部门HSE标识存在问题共1项，具体见下表：</w:t>
            </w:r>
          </w:p>
          <w:tbl>
            <w:tblPr>
              <w:tblStyle w:val="6"/>
              <w:tblW w:w="5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84"/>
              <w:gridCol w:w="1828"/>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序号</w:t>
                  </w:r>
                </w:p>
              </w:tc>
              <w:tc>
                <w:tcPr>
                  <w:tcW w:w="1484"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标识类别</w:t>
                  </w:r>
                </w:p>
              </w:tc>
              <w:tc>
                <w:tcPr>
                  <w:tcW w:w="1828"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问题描述</w:t>
                  </w:r>
                </w:p>
              </w:tc>
              <w:tc>
                <w:tcPr>
                  <w:tcW w:w="1849"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w:t>
                  </w:r>
                </w:p>
              </w:tc>
              <w:tc>
                <w:tcPr>
                  <w:tcW w:w="1484"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警告类标识</w:t>
                  </w:r>
                </w:p>
              </w:tc>
              <w:tc>
                <w:tcPr>
                  <w:tcW w:w="1828"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各装置该类标识褪色严重</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需公司统一协调解决</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在4月份已经更换装置现场40块库存的安全标识牌，本月计划在煤柴油加氢和加裂气分装置空冷脚手架区域设置安全警告标识牌。目前正在找HSE部协调领取计划下周完成。</w:t>
            </w:r>
          </w:p>
          <w:p>
            <w:pPr>
              <w:pStyle w:val="14"/>
              <w:numPr>
                <w:ilvl w:val="0"/>
                <w:numId w:val="0"/>
              </w:numPr>
              <w:ind w:leftChars="20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4、变更管理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随着部门各装置平稳运行，根据运行工况部门作出相应操作调整，部门目前变更如下：</w:t>
            </w:r>
          </w:p>
          <w:p>
            <w:pPr>
              <w:pStyle w:val="14"/>
              <w:numPr>
                <w:ilvl w:val="0"/>
                <w:numId w:val="0"/>
              </w:numPr>
              <w:ind w:left="420" w:leftChars="0"/>
              <w:jc w:val="both"/>
              <w:rPr>
                <w:rFonts w:hint="eastAsia" w:ascii="宋体" w:hAnsi="宋体" w:cs="宋体"/>
                <w:b w:val="0"/>
                <w:bCs/>
                <w:color w:val="000000" w:themeColor="text1"/>
                <w:kern w:val="2"/>
                <w:sz w:val="21"/>
                <w:szCs w:val="21"/>
                <w:highlight w:val="none"/>
                <w:lang w:val="en-US" w:eastAsia="zh-CN" w:bidi="ar-SA"/>
              </w:rPr>
            </w:pPr>
            <w:r>
              <w:rPr>
                <w:rFonts w:hint="eastAsia"/>
                <w:highlight w:val="none"/>
                <w:lang w:val="en-US" w:eastAsia="zh-CN"/>
              </w:rPr>
              <w:t>1、</w:t>
            </w:r>
            <w:r>
              <w:rPr>
                <w:highlight w:val="none"/>
              </w:rPr>
              <w:t>设备、设施变更</w:t>
            </w:r>
            <w:r>
              <w:rPr>
                <w:rFonts w:hint="eastAsia" w:ascii="宋体" w:hAnsi="宋体" w:cs="宋体"/>
                <w:b w:val="0"/>
                <w:bCs/>
                <w:color w:val="000000" w:themeColor="text1"/>
                <w:kern w:val="2"/>
                <w:sz w:val="21"/>
                <w:szCs w:val="21"/>
                <w:highlight w:val="none"/>
                <w:lang w:val="en-US" w:eastAsia="zh-CN" w:bidi="ar-SA"/>
              </w:rPr>
              <w:t>0项</w:t>
            </w:r>
            <w:r>
              <w:rPr>
                <w:rFonts w:hint="eastAsia"/>
                <w:highlight w:val="none"/>
                <w:lang w:eastAsia="zh-CN"/>
              </w:rPr>
              <w:t>（包括设备、设施的关键部位更新、改造；设备、材料的代用；临时增加的电器设备；电力系统及公用工程的变化；设备报警联锁的改变；设备操作规程的修订）</w:t>
            </w:r>
          </w:p>
          <w:p>
            <w:pPr>
              <w:pStyle w:val="14"/>
              <w:numPr>
                <w:ilvl w:val="0"/>
                <w:numId w:val="0"/>
              </w:numPr>
              <w:ind w:left="420" w:leftChars="0"/>
              <w:jc w:val="both"/>
              <w:rPr>
                <w:rFonts w:hint="eastAsia" w:ascii="宋体" w:hAnsi="宋体" w:cs="宋体"/>
                <w:b w:val="0"/>
                <w:bCs/>
                <w:color w:val="000000" w:themeColor="text1"/>
                <w:kern w:val="2"/>
                <w:sz w:val="21"/>
                <w:szCs w:val="21"/>
                <w:highlight w:val="none"/>
                <w:lang w:val="en-US" w:eastAsia="zh-CN" w:bidi="ar-SA"/>
              </w:rPr>
            </w:pPr>
            <w:r>
              <w:rPr>
                <w:rFonts w:hint="eastAsia"/>
                <w:highlight w:val="none"/>
                <w:lang w:val="en-US" w:eastAsia="zh-CN"/>
              </w:rPr>
              <w:t>2、</w:t>
            </w:r>
            <w:r>
              <w:rPr>
                <w:rFonts w:eastAsia="宋体"/>
                <w:highlight w:val="none"/>
              </w:rPr>
              <w:t>工艺技术变更</w:t>
            </w:r>
            <w:r>
              <w:rPr>
                <w:rFonts w:hint="eastAsia"/>
                <w:highlight w:val="none"/>
                <w:lang w:eastAsia="zh-CN"/>
              </w:rPr>
              <w:t>总</w:t>
            </w:r>
            <w:r>
              <w:rPr>
                <w:rFonts w:hint="eastAsia" w:ascii="宋体" w:hAnsi="宋体" w:cs="宋体"/>
                <w:b w:val="0"/>
                <w:bCs/>
                <w:color w:val="000000" w:themeColor="text1"/>
                <w:kern w:val="2"/>
                <w:sz w:val="21"/>
                <w:szCs w:val="21"/>
                <w:highlight w:val="none"/>
                <w:lang w:val="en-US" w:eastAsia="zh-CN" w:bidi="ar-SA"/>
              </w:rPr>
              <w:t>12项（包括生产装置新建、改建、扩建；生产工艺技术路线改变；工艺控制指标修订、报警联锁改变；首次加工原油新品种；化工原材料品种变化；工艺技术规程、岗位操作法改变）</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本月2项变更施工完成（煤柴油加氢装置）。2021年完成3项工艺变更，剩余0项。动态台账见下表：</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tbl>
            <w:tblPr>
              <w:tblStyle w:val="5"/>
              <w:tblpPr w:leftFromText="180" w:rightFromText="180" w:vertAnchor="text" w:horzAnchor="page" w:tblpXSpec="center" w:tblpY="68"/>
              <w:tblOverlap w:val="never"/>
              <w:tblW w:w="8086" w:type="dxa"/>
              <w:jc w:val="center"/>
              <w:shd w:val="clear" w:color="auto" w:fill="auto"/>
              <w:tblLayout w:type="fixed"/>
              <w:tblCellMar>
                <w:top w:w="0" w:type="dxa"/>
                <w:left w:w="0" w:type="dxa"/>
                <w:bottom w:w="0" w:type="dxa"/>
                <w:right w:w="0" w:type="dxa"/>
              </w:tblCellMar>
            </w:tblPr>
            <w:tblGrid>
              <w:gridCol w:w="357"/>
              <w:gridCol w:w="587"/>
              <w:gridCol w:w="812"/>
              <w:gridCol w:w="2998"/>
              <w:gridCol w:w="806"/>
              <w:gridCol w:w="656"/>
              <w:gridCol w:w="1870"/>
            </w:tblGrid>
            <w:tr>
              <w:tblPrEx>
                <w:tblCellMar>
                  <w:top w:w="0" w:type="dxa"/>
                  <w:left w:w="0" w:type="dxa"/>
                  <w:bottom w:w="0" w:type="dxa"/>
                  <w:right w:w="0" w:type="dxa"/>
                </w:tblCellMar>
              </w:tblPrEx>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序号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变更类别</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变更</w:t>
                  </w:r>
                  <w:r>
                    <w:rPr>
                      <w:rFonts w:hint="eastAsia" w:ascii="宋体" w:hAnsi="宋体" w:eastAsia="宋体" w:cs="宋体"/>
                      <w:i w:val="0"/>
                      <w:color w:val="000000" w:themeColor="text1"/>
                      <w:kern w:val="0"/>
                      <w:sz w:val="13"/>
                      <w:szCs w:val="13"/>
                      <w:highlight w:val="none"/>
                      <w:u w:val="none"/>
                      <w:lang w:val="en-US" w:eastAsia="zh-CN" w:bidi="ar"/>
                    </w:rPr>
                    <w:t>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实施日期</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完成情况</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进度更新</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航煤</w:t>
                  </w: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产品航煤调和化工轻油流程</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202</w:t>
                  </w:r>
                  <w:r>
                    <w:rPr>
                      <w:rFonts w:hint="eastAsia" w:ascii="宋体" w:hAnsi="宋体" w:cs="宋体"/>
                      <w:i w:val="0"/>
                      <w:color w:val="000000" w:themeColor="text1"/>
                      <w:kern w:val="0"/>
                      <w:sz w:val="13"/>
                      <w:szCs w:val="13"/>
                      <w:highlight w:val="none"/>
                      <w:u w:val="none"/>
                      <w:lang w:val="en-US" w:eastAsia="zh-CN" w:bidi="ar"/>
                    </w:rPr>
                    <w:t>1</w:t>
                  </w:r>
                  <w:r>
                    <w:rPr>
                      <w:rFonts w:hint="eastAsia" w:ascii="宋体" w:hAnsi="宋体" w:eastAsia="宋体" w:cs="宋体"/>
                      <w:i w:val="0"/>
                      <w:color w:val="000000" w:themeColor="text1"/>
                      <w:kern w:val="0"/>
                      <w:sz w:val="13"/>
                      <w:szCs w:val="13"/>
                      <w:highlight w:val="none"/>
                      <w:u w:val="none"/>
                      <w:lang w:val="en-US" w:eastAsia="zh-CN" w:bidi="ar"/>
                    </w:rPr>
                    <w:t>.</w:t>
                  </w:r>
                  <w:r>
                    <w:rPr>
                      <w:rFonts w:hint="eastAsia" w:ascii="宋体" w:hAnsi="宋体" w:cs="宋体"/>
                      <w:i w:val="0"/>
                      <w:color w:val="000000" w:themeColor="text1"/>
                      <w:kern w:val="0"/>
                      <w:sz w:val="13"/>
                      <w:szCs w:val="13"/>
                      <w:highlight w:val="none"/>
                      <w:u w:val="none"/>
                      <w:lang w:val="en-US" w:eastAsia="zh-CN" w:bidi="ar"/>
                    </w:rPr>
                    <w:t>3</w:t>
                  </w:r>
                  <w:r>
                    <w:rPr>
                      <w:rFonts w:hint="eastAsia" w:ascii="宋体" w:hAnsi="宋体" w:eastAsia="宋体" w:cs="宋体"/>
                      <w:i w:val="0"/>
                      <w:color w:val="000000" w:themeColor="text1"/>
                      <w:kern w:val="0"/>
                      <w:sz w:val="13"/>
                      <w:szCs w:val="13"/>
                      <w:highlight w:val="none"/>
                      <w:u w:val="none"/>
                      <w:lang w:val="en-US" w:eastAsia="zh-CN" w:bidi="ar"/>
                    </w:rPr>
                    <w:t>.</w:t>
                  </w:r>
                  <w:r>
                    <w:rPr>
                      <w:rFonts w:hint="eastAsia" w:ascii="宋体" w:hAnsi="宋体" w:cs="宋体"/>
                      <w:i w:val="0"/>
                      <w:color w:val="000000" w:themeColor="text1"/>
                      <w:kern w:val="0"/>
                      <w:sz w:val="13"/>
                      <w:szCs w:val="13"/>
                      <w:highlight w:val="none"/>
                      <w:u w:val="none"/>
                      <w:lang w:val="en-US" w:eastAsia="zh-CN" w:bidi="ar"/>
                    </w:rPr>
                    <w:t>19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柴油装置加裂装置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罐区焦柴至加氢裂化直供焦化蜡油线流程改造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2021.4.1</w:t>
                  </w:r>
                  <w:r>
                    <w:rPr>
                      <w:rFonts w:hint="eastAsia" w:ascii="宋体" w:hAnsi="宋体" w:cs="宋体"/>
                      <w:i w:val="0"/>
                      <w:color w:val="000000" w:themeColor="text1"/>
                      <w:kern w:val="0"/>
                      <w:sz w:val="13"/>
                      <w:szCs w:val="13"/>
                      <w:highlight w:val="none"/>
                      <w:u w:val="none"/>
                      <w:lang w:val="en-US" w:eastAsia="zh-CN" w:bidi="ar"/>
                    </w:rPr>
                    <w:t>3</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煤油装置柴油装置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罐区焦汽至航煤加氢直供航煤流程改造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2021.4.</w:t>
                  </w:r>
                  <w:r>
                    <w:rPr>
                      <w:rFonts w:hint="eastAsia" w:ascii="宋体" w:hAnsi="宋体" w:cs="宋体"/>
                      <w:i w:val="0"/>
                      <w:color w:val="000000" w:themeColor="text1"/>
                      <w:kern w:val="0"/>
                      <w:sz w:val="13"/>
                      <w:szCs w:val="13"/>
                      <w:highlight w:val="none"/>
                      <w:u w:val="none"/>
                      <w:lang w:val="en-US" w:eastAsia="zh-CN" w:bidi="ar"/>
                    </w:rPr>
                    <w:t>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bl>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5、隐患管理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隐患排查及治理逐渐成为运行期间重点工作，也是有效杜绝事故发生的重要手段。我部一方面积极响应公司“查隐患、保安全”活动，一方面转化完善部门隐患管理细则，明确规范了从隐患发现到整改、从隐患登记上报到申报隐患奖励的闭环管理要求。</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5.1 隐患排查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本月炼油二部共排查各类隐患58项，经过评审及重新量化打分后已经上报HSE部，其中加氢3项、加裂55项。</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较上月45项隐患有所增加，加裂装置发现了高温高压部位、高温部位泄漏等隐患，申请了公司级奖励；本月文莱员工共上报隐患申请达到10项，文莱员工近两个月上报隐患申请积极性明显提高。经过长期的查隐患奖励机制和安全卫士评选工作的引导，班组查隐患的能力和巡检质量在不断提升。</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各类隐患中，设备类隐患仍是部门主要隐患类型，占到48/58（83%）；其中泄漏类隐患又占到设备隐患的36/48（75%）。上报的7个公司级的隐患中6个是设备类隐患，本月上报的公司级隐患增多。加裂气分装置采样器接头泄漏、阀门内漏和气分装置机泵干气密封频繁波动是本月隐患申请较多的项。采样器泄漏问题在当装置有动火作业时会造成一个很大的安全风险；气分机泵干气密封波动有设计的原因，也有雨天天气的原因，还有介质清洁的原因，当前也给装置平稳运行带来一些不确定因素，如机泵密封可能损坏；班组因干气密封波动频繁切换机泵，甚至在切换过程中可能造成机泵抽空操作大幅波动等安全风险。隐患设备的安全运行是装置安稳长运行的基础，管好设备泄漏还是目前的重点工作。</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查隐患活动开展一年多以来，公司已发布中英文版本的查隐患奖励申请表，也提高了对各部门申请隐患的评审要求，对日常巡检该检查的问题和查隐患保安全专项活动严格区分。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本月在查隐患登记过程中登记了大量的不符合公司HSE部隐患奖励的申请，如现场保温缺失，法兰螺栓腐蚀和重复申请的问题，给整理和确认造成很大难度，目前有明显改善。5.2 隐患奖励：</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本月组织工艺、设备、安全各专业及部门领导隐患评审，共计申报58项隐患奖励（加氢3项、加裂55项），申报奖励金额2895文币。其中部门级51项，公司级7项，全部完成整改。公司级隐患奖励具体见下表：</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drawing>
                <wp:inline distT="0" distB="0" distL="114300" distR="114300">
                  <wp:extent cx="4760595" cy="2043430"/>
                  <wp:effectExtent l="0" t="0" r="190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760595" cy="2043430"/>
                          </a:xfrm>
                          <a:prstGeom prst="rect">
                            <a:avLst/>
                          </a:prstGeom>
                          <a:noFill/>
                          <a:ln>
                            <a:noFill/>
                          </a:ln>
                        </pic:spPr>
                      </pic:pic>
                    </a:graphicData>
                  </a:graphic>
                </wp:inline>
              </w:drawing>
            </w:r>
          </w:p>
          <w:p>
            <w:pPr>
              <w:pStyle w:val="14"/>
              <w:numPr>
                <w:ilvl w:val="0"/>
                <w:numId w:val="0"/>
              </w:numPr>
              <w:ind w:firstLine="42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6、应急管理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今年以来，各装置逐步按部门制度规范应急管理，结合综合应急演练更加强化了演练的实战性，更加贴合装置实际。组织各班组进行应急演练，重点考察人员在事故处理过程中突发意外状况，现场处理消、气防操作和应急报警、处置和自救互救的实战能力。此次应急演练也通知HSE部安全专业负责人现场观摩点评，对部门组织的应急演练提出好评。</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本月应急演练内容如下；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82"/>
              <w:gridCol w:w="710"/>
              <w:gridCol w:w="2364"/>
              <w:gridCol w:w="637"/>
              <w:gridCol w:w="718"/>
              <w:gridCol w:w="1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3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应急预案名称</w:t>
                  </w:r>
                </w:p>
              </w:tc>
              <w:tc>
                <w:tcPr>
                  <w:tcW w:w="7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计划演练时间</w:t>
                  </w:r>
                </w:p>
              </w:tc>
              <w:tc>
                <w:tcPr>
                  <w:tcW w:w="7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演练方式</w:t>
                  </w:r>
                </w:p>
              </w:tc>
              <w:tc>
                <w:tcPr>
                  <w:tcW w:w="23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演练目的</w:t>
                  </w:r>
                </w:p>
              </w:tc>
              <w:tc>
                <w:tcPr>
                  <w:tcW w:w="6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组织单位</w:t>
                  </w:r>
                </w:p>
              </w:tc>
              <w:tc>
                <w:tcPr>
                  <w:tcW w:w="7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配合单位</w:t>
                  </w:r>
                </w:p>
              </w:tc>
              <w:tc>
                <w:tcPr>
                  <w:tcW w:w="154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应急物资准备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val="en-US" w:eastAsia="zh-CN"/>
                    </w:rPr>
                    <w:t>原料油过滤器其中一组法兰大量泄漏环保</w:t>
                  </w:r>
                  <w:r>
                    <w:rPr>
                      <w:rFonts w:hint="eastAsia" w:ascii="Arial"/>
                      <w:sz w:val="13"/>
                      <w:szCs w:val="13"/>
                      <w:highlight w:val="none"/>
                      <w:lang w:eastAsia="zh-CN"/>
                    </w:rPr>
                    <w:t>应急处置</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val="en-US" w:eastAsia="zh-CN"/>
                    </w:rPr>
                    <w:t>五</w:t>
                  </w:r>
                  <w:r>
                    <w:rPr>
                      <w:rFonts w:hint="eastAsia" w:ascii="Arial"/>
                      <w:sz w:val="13"/>
                      <w:szCs w:val="13"/>
                      <w:highlight w:val="none"/>
                      <w:lang w:eastAsia="zh-CN"/>
                    </w:rPr>
                    <w:t>月</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现场演练</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考察</w:t>
                  </w:r>
                  <w:r>
                    <w:rPr>
                      <w:rFonts w:hint="eastAsia" w:ascii="Arial"/>
                      <w:sz w:val="13"/>
                      <w:szCs w:val="13"/>
                      <w:highlight w:val="none"/>
                      <w:lang w:val="en-US" w:eastAsia="zh-CN"/>
                    </w:rPr>
                    <w:t>装置油品</w:t>
                  </w:r>
                  <w:r>
                    <w:rPr>
                      <w:rFonts w:hint="eastAsia" w:ascii="Arial"/>
                      <w:sz w:val="13"/>
                      <w:szCs w:val="13"/>
                      <w:highlight w:val="none"/>
                      <w:lang w:eastAsia="zh-CN"/>
                    </w:rPr>
                    <w:t>介质</w:t>
                  </w:r>
                  <w:r>
                    <w:rPr>
                      <w:rFonts w:hint="eastAsia" w:ascii="Arial"/>
                      <w:sz w:val="13"/>
                      <w:szCs w:val="13"/>
                      <w:highlight w:val="none"/>
                      <w:lang w:val="en-US" w:eastAsia="zh-CN"/>
                    </w:rPr>
                    <w:t>大量</w:t>
                  </w:r>
                  <w:r>
                    <w:rPr>
                      <w:rFonts w:hint="eastAsia" w:ascii="Arial"/>
                      <w:sz w:val="13"/>
                      <w:szCs w:val="13"/>
                      <w:highlight w:val="none"/>
                      <w:lang w:eastAsia="zh-CN"/>
                    </w:rPr>
                    <w:t>泄漏的</w:t>
                  </w:r>
                  <w:r>
                    <w:rPr>
                      <w:rFonts w:hint="eastAsia" w:ascii="Arial"/>
                      <w:sz w:val="13"/>
                      <w:szCs w:val="13"/>
                      <w:highlight w:val="none"/>
                      <w:lang w:val="en-US" w:eastAsia="zh-CN"/>
                    </w:rPr>
                    <w:t>环保</w:t>
                  </w:r>
                  <w:r>
                    <w:rPr>
                      <w:rFonts w:hint="eastAsia" w:ascii="Arial"/>
                      <w:sz w:val="13"/>
                      <w:szCs w:val="13"/>
                      <w:highlight w:val="none"/>
                      <w:lang w:eastAsia="zh-CN"/>
                    </w:rPr>
                    <w:t>应急处置、</w:t>
                  </w:r>
                  <w:r>
                    <w:rPr>
                      <w:rFonts w:hint="eastAsia" w:ascii="Arial"/>
                      <w:sz w:val="13"/>
                      <w:szCs w:val="13"/>
                      <w:highlight w:val="none"/>
                      <w:lang w:val="en-US" w:eastAsia="zh-CN"/>
                    </w:rPr>
                    <w:t>环保</w:t>
                  </w:r>
                  <w:r>
                    <w:rPr>
                      <w:rFonts w:hint="eastAsia" w:ascii="Arial"/>
                      <w:sz w:val="13"/>
                      <w:szCs w:val="13"/>
                      <w:highlight w:val="none"/>
                      <w:lang w:eastAsia="zh-CN"/>
                    </w:rPr>
                    <w:t>设备设施应急操作</w:t>
                  </w:r>
                  <w:r>
                    <w:rPr>
                      <w:rFonts w:hint="eastAsia" w:ascii="Arial"/>
                      <w:sz w:val="13"/>
                      <w:szCs w:val="13"/>
                      <w:highlight w:val="none"/>
                      <w:lang w:val="en-US" w:eastAsia="zh-CN"/>
                    </w:rPr>
                    <w:t>和清污分流操作</w:t>
                  </w:r>
                  <w:r>
                    <w:rPr>
                      <w:rFonts w:hint="eastAsia" w:ascii="Arial"/>
                      <w:sz w:val="13"/>
                      <w:szCs w:val="13"/>
                      <w:highlight w:val="none"/>
                      <w:lang w:eastAsia="zh-CN"/>
                    </w:rPr>
                    <w:t>等</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炼油二部各班组</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val="en-US" w:eastAsia="zh-CN"/>
                    </w:rPr>
                    <w:t>-</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val="en-US" w:eastAsia="zh-CN"/>
                    </w:rPr>
                    <w:t>沙袋，</w:t>
                  </w:r>
                  <w:r>
                    <w:rPr>
                      <w:rFonts w:hint="eastAsia" w:ascii="Arial"/>
                      <w:sz w:val="13"/>
                      <w:szCs w:val="13"/>
                      <w:highlight w:val="none"/>
                      <w:lang w:eastAsia="zh-CN"/>
                    </w:rPr>
                    <w:t>防爆工具、警戒带、硫化氢报警仪等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裂和加氢装置在装置紧急停工过程中外操发现原料油过滤器SR101法兰大量泄漏开始汇报处置的应急演练，考察发现人员的第一时间汇报报警能力、应急手段和其他人员到达现场时间，力争以最合理的路线，最快时间赶赴现场进行泄漏部位隔离泄压、泄漏油品清理、清污分流操作和避免无关人员受到伤害的情况。本次演习规范了警戒区域和环保封堵地点。测试综合评分见副班综合评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加裂演练点评：</w:t>
            </w:r>
          </w:p>
          <w:p>
            <w:pPr>
              <w:spacing w:after="156" w:afterLines="50" w:line="360" w:lineRule="exact"/>
              <w:rPr>
                <w:rFonts w:hint="default" w:eastAsia="宋体"/>
                <w:b w:val="0"/>
                <w:bCs/>
                <w:lang w:val="en-US" w:eastAsia="zh-CN"/>
              </w:rPr>
            </w:pPr>
            <w:r>
              <w:rPr>
                <w:rFonts w:hint="eastAsia"/>
                <w:b w:val="0"/>
                <w:bCs/>
              </w:rPr>
              <w:t>加裂一班：巡检SR101C大量泄漏后，第一时间联系汇报班长，班长汇报相关管理人员，并联系消防掩护，现场紧急停运P101，在班长指挥下，拉好警戒线，现场放置空呼备用，切断C组进出口阀，打开SR101C至地下轻污油罐手阀，使用沙子及沙袋围堵地沟周边及地漏，取用防爆设备清除泄漏蜡油，并向中控汇报现场相关处理及污染情况。</w:t>
            </w:r>
            <w:r>
              <w:rPr>
                <w:rFonts w:hint="eastAsia" w:asciiTheme="minorEastAsia" w:hAnsiTheme="minorEastAsia" w:cstheme="minorEastAsia"/>
                <w:color w:val="000000" w:themeColor="text1"/>
                <w:sz w:val="21"/>
                <w:szCs w:val="21"/>
                <w:highlight w:val="none"/>
                <w:lang w:val="en-US" w:eastAsia="zh-CN"/>
              </w:rPr>
              <w:t>整体演练符合预案内容和打分表要求，</w:t>
            </w:r>
            <w:r>
              <w:rPr>
                <w:rFonts w:hint="eastAsia"/>
                <w:b w:val="0"/>
                <w:bCs/>
                <w:lang w:val="en-US" w:eastAsia="zh-CN"/>
              </w:rPr>
              <w:t>演练排名第一。</w:t>
            </w:r>
          </w:p>
          <w:p>
            <w:pPr>
              <w:spacing w:after="156" w:afterLines="50" w:line="360" w:lineRule="exact"/>
              <w:rPr>
                <w:rFonts w:hint="default" w:eastAsia="宋体"/>
                <w:b w:val="0"/>
                <w:bCs/>
                <w:lang w:val="en-US" w:eastAsia="zh-CN"/>
              </w:rPr>
            </w:pPr>
            <w:r>
              <w:rPr>
                <w:rFonts w:hint="eastAsia"/>
                <w:b w:val="0"/>
                <w:bCs/>
              </w:rPr>
              <w:t>加裂二班：巡检SR101C大量泄漏后，第一时间联系汇报班长，班长汇报相关管理人员，未联系消防</w:t>
            </w:r>
            <w:r>
              <w:rPr>
                <w:rFonts w:hint="eastAsia"/>
                <w:b w:val="0"/>
                <w:bCs/>
                <w:lang w:val="en-US" w:eastAsia="zh-CN"/>
              </w:rPr>
              <w:t>对支援</w:t>
            </w:r>
            <w:r>
              <w:rPr>
                <w:rFonts w:hint="eastAsia"/>
                <w:b w:val="0"/>
                <w:bCs/>
              </w:rPr>
              <w:t>。未能及时的清楚的设置警戒线。在班长指挥下，切断C组进出口阀，打开SR101C至地下轻污油罐手阀，使用沙袋堵地漏，取用防爆设备清除泄漏蜡油，事故处理结束后未向中控汇报现场相关处理及污染情况。</w:t>
            </w:r>
            <w:r>
              <w:rPr>
                <w:rFonts w:hint="eastAsia"/>
                <w:b w:val="0"/>
                <w:bCs/>
                <w:lang w:val="en-US" w:eastAsia="zh-CN"/>
              </w:rPr>
              <w:t>演练排名第四。</w:t>
            </w:r>
          </w:p>
          <w:p>
            <w:pPr>
              <w:spacing w:after="156" w:afterLines="50" w:line="360" w:lineRule="exact"/>
              <w:rPr>
                <w:rFonts w:hint="default" w:eastAsia="宋体"/>
                <w:b w:val="0"/>
                <w:bCs/>
                <w:lang w:val="en-US" w:eastAsia="zh-CN"/>
              </w:rPr>
            </w:pPr>
            <w:r>
              <w:rPr>
                <w:rFonts w:hint="eastAsia"/>
                <w:b w:val="0"/>
                <w:bCs/>
              </w:rPr>
              <w:t>加裂三班：巡检SR101C大量泄漏后，第一时间联系汇报班长，班长汇报相关管理人员，及时联系消防掩护。在班长指挥下，外操及时、清楚的设置警戒线，切断C组进出口阀，打开SR101C至地下轻污油罐手阀，使用垃圾桶运送沙袋围堵地漏，取用防爆设备清除泄漏蜡油，但事故处理结束后未及时向中控汇报现场相关处理及污染情况</w:t>
            </w:r>
            <w:r>
              <w:rPr>
                <w:rFonts w:hint="eastAsia"/>
                <w:b w:val="0"/>
                <w:bCs/>
                <w:lang w:eastAsia="zh-CN"/>
              </w:rPr>
              <w:t>，</w:t>
            </w:r>
            <w:r>
              <w:rPr>
                <w:rFonts w:hint="eastAsia"/>
                <w:b w:val="0"/>
                <w:bCs/>
                <w:lang w:val="en-US" w:eastAsia="zh-CN"/>
              </w:rPr>
              <w:t>前往应急库房拿取工具的文莱员工不认识防爆工具。演练排名第三。</w:t>
            </w:r>
          </w:p>
          <w:p>
            <w:pPr>
              <w:spacing w:after="156" w:afterLines="50" w:line="360" w:lineRule="exact"/>
              <w:rPr>
                <w:rFonts w:hint="default" w:eastAsia="宋体"/>
                <w:lang w:val="en-US" w:eastAsia="zh-CN"/>
              </w:rPr>
            </w:pPr>
            <w:r>
              <w:rPr>
                <w:rFonts w:hint="eastAsia"/>
                <w:b w:val="0"/>
                <w:bCs/>
              </w:rPr>
              <w:t>加裂四班</w:t>
            </w:r>
            <w:r>
              <w:rPr>
                <w:rFonts w:hint="eastAsia"/>
                <w:b/>
              </w:rPr>
              <w:t>：</w:t>
            </w:r>
            <w:r>
              <w:rPr>
                <w:rFonts w:hint="eastAsia"/>
              </w:rPr>
              <w:t>巡检SR101C大量泄漏后，第一时间联系汇报班长，班长汇报相关管理人员，及时联系消防现场掩护。外操清楚警戒线的设置范围，使用蒸汽掩护条件下切断C组进出口阀，打开SR101C至地下轻污油罐手阀，使用垃圾桶运送沙袋围堵地漏，取用防爆设备清除泄漏蜡油，事故处理时向中控汇报现场相关处理及污染情况。</w:t>
            </w:r>
            <w:r>
              <w:rPr>
                <w:rFonts w:hint="eastAsia"/>
                <w:lang w:val="en-US" w:eastAsia="zh-CN"/>
              </w:rPr>
              <w:t>演练排名第二。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default"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加氢演练点评：</w:t>
            </w:r>
          </w:p>
          <w:p>
            <w:pPr>
              <w:rPr>
                <w:rFonts w:hint="default" w:eastAsia="宋体"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加氢一班发现泄漏后发现人第一时间隔离泄漏部位，但未采取泄压排油措施，外操班长赶到泄漏点后亲自组织人员采取清污分流的措施和处置，及时</w:t>
            </w:r>
            <w:r>
              <w:rPr>
                <w:rFonts w:hint="eastAsia"/>
                <w:b w:val="0"/>
                <w:bCs/>
              </w:rPr>
              <w:t>向中控汇报现场相关处理及污染情况</w:t>
            </w:r>
            <w:r>
              <w:rPr>
                <w:rFonts w:hint="eastAsia"/>
                <w:b w:val="0"/>
                <w:bCs/>
                <w:lang w:eastAsia="zh-CN"/>
              </w:rPr>
              <w:t>。</w:t>
            </w:r>
            <w:r>
              <w:rPr>
                <w:rFonts w:hint="eastAsia"/>
                <w:b w:val="0"/>
                <w:bCs/>
                <w:lang w:val="en-US" w:eastAsia="zh-CN"/>
              </w:rPr>
              <w:t>演练排名第二。</w:t>
            </w:r>
          </w:p>
          <w:p>
            <w:pPr>
              <w:ind w:firstLine="420"/>
              <w:rPr>
                <w:rFonts w:hint="eastAsia" w:asciiTheme="minorEastAsia" w:hAnsiTheme="minorEastAsia" w:cstheme="minorEastAsia"/>
                <w:color w:val="000000" w:themeColor="text1"/>
                <w:sz w:val="21"/>
                <w:szCs w:val="21"/>
                <w:highlight w:val="none"/>
                <w:lang w:val="en-US" w:eastAsia="zh-CN"/>
              </w:rPr>
            </w:pPr>
          </w:p>
          <w:p>
            <w:pPr>
              <w:rPr>
                <w:rFonts w:hint="default"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氢二班在演练过程中拉警戒线警戒范围过近，不符合30米距离，外操对泄漏部位隔离措施比较模糊，外操人员只是口述了清污分流的措施和处置位置，基本没有实际操作。演练的整个过程节奏较慢，没有应急处置应该有的紧迫感，应急处置时间拖得过长。演练排名第四。</w:t>
            </w:r>
          </w:p>
          <w:p>
            <w:pPr>
              <w:ind w:firstLine="420"/>
              <w:rPr>
                <w:rFonts w:hint="eastAsia" w:asciiTheme="minorEastAsia" w:hAnsiTheme="minorEastAsia" w:cstheme="minorEastAsia"/>
                <w:color w:val="000000" w:themeColor="text1"/>
                <w:sz w:val="21"/>
                <w:szCs w:val="21"/>
                <w:highlight w:val="none"/>
                <w:lang w:val="en-US" w:eastAsia="zh-CN"/>
              </w:rPr>
            </w:pPr>
          </w:p>
          <w:p>
            <w:pPr>
              <w:rPr>
                <w:rFonts w:hint="default" w:eastAsia="宋体"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加氢三班在演练过程总体符合应急演练预案和打分表要求，班组在班长的指挥和组织下第一时间处置泄漏和清污分流操作，演练过程中多次</w:t>
            </w:r>
            <w:r>
              <w:rPr>
                <w:rFonts w:hint="eastAsia"/>
                <w:b w:val="0"/>
                <w:bCs/>
              </w:rPr>
              <w:t>向中控</w:t>
            </w:r>
            <w:r>
              <w:rPr>
                <w:rFonts w:hint="eastAsia"/>
                <w:b w:val="0"/>
                <w:bCs/>
                <w:lang w:val="en-US" w:eastAsia="zh-CN"/>
              </w:rPr>
              <w:t>和部门</w:t>
            </w:r>
            <w:r>
              <w:rPr>
                <w:rFonts w:hint="eastAsia"/>
                <w:b w:val="0"/>
                <w:bCs/>
              </w:rPr>
              <w:t>汇报现场相关处理及污染情况</w:t>
            </w:r>
            <w:r>
              <w:rPr>
                <w:rFonts w:hint="eastAsia"/>
                <w:b w:val="0"/>
                <w:bCs/>
                <w:lang w:eastAsia="zh-CN"/>
              </w:rPr>
              <w:t>。</w:t>
            </w:r>
            <w:r>
              <w:rPr>
                <w:rFonts w:hint="eastAsia"/>
                <w:b w:val="0"/>
                <w:bCs/>
                <w:lang w:val="en-US" w:eastAsia="zh-CN"/>
              </w:rPr>
              <w:t>演练排名第一。</w:t>
            </w:r>
          </w:p>
          <w:p>
            <w:pPr>
              <w:ind w:firstLine="420"/>
              <w:rPr>
                <w:rFonts w:hint="eastAsia" w:asciiTheme="minorEastAsia" w:hAnsiTheme="minorEastAsia" w:cstheme="minorEastAsia"/>
                <w:color w:val="000000" w:themeColor="text1"/>
                <w:sz w:val="21"/>
                <w:szCs w:val="21"/>
                <w:highlight w:val="none"/>
                <w:lang w:val="en-US" w:eastAsia="zh-CN"/>
              </w:rPr>
            </w:pPr>
          </w:p>
          <w:p>
            <w:pPr>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 xml:space="preserve">加氢四班第一时间联系汇报班长，班长汇报相关管理人员，及时联系消防现场掩护。外操清楚警戒线的设置范围，取用防爆设备清除泄漏油品，事故处理时向中控汇报现场相关处理及污染情况。演练排名第三。                              </w:t>
            </w:r>
          </w:p>
          <w:p>
            <w:pPr>
              <w:ind w:firstLine="420"/>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 xml:space="preserve"> 加裂加氢八个班组好的地方是各班组对清污分流的要求，需要采取的措施和封堵位置都清楚。另外因为此次演练是安全和工艺专业综合性的应急演练，文莱员工反而没有安全单独演练时的参与深度高，后期继续加大文莱员工的参与度和应急处置能力培训。</w:t>
            </w:r>
          </w:p>
          <w:p>
            <w:pPr>
              <w:ind w:firstLine="420"/>
              <w:rPr>
                <w:rFonts w:hint="default"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鉴于文莱员工不认识不清楚应急库房铜制防爆工具的问题一是由于语言描述上的不同和误解，二是前期没有对文莱员工开展防爆工具的介绍培训有关，计划6月份针对性指导培训。</w:t>
            </w:r>
          </w:p>
          <w:p>
            <w:pPr>
              <w:pStyle w:val="4"/>
              <w:numPr>
                <w:ilvl w:val="0"/>
                <w:numId w:val="0"/>
              </w:numPr>
              <w:spacing w:line="320" w:lineRule="exact"/>
              <w:ind w:firstLine="422" w:firstLineChars="200"/>
              <w:jc w:val="left"/>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7、事故管理</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自开工以来，运行较为平稳，总共发生2次非计划停工，无人身伤害事故、着火爆炸事故等。针对这两起非计划停工事件，部门已根据实际情况完成“四不放过登记表”，详细分析事件经过及发生原因，并根据经验教训制定防范措施，避免此类事件再次发生。2021年截止本月未发生部门级事故。</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p>
          <w:tbl>
            <w:tblPr>
              <w:tblStyle w:val="5"/>
              <w:tblpPr w:leftFromText="180" w:rightFromText="180" w:vertAnchor="text" w:horzAnchor="page" w:tblpX="924" w:tblpY="38"/>
              <w:tblOverlap w:val="never"/>
              <w:tblW w:w="0" w:type="auto"/>
              <w:tblInd w:w="0" w:type="dxa"/>
              <w:shd w:val="clear" w:color="auto" w:fill="auto"/>
              <w:tblLayout w:type="fixed"/>
              <w:tblCellMar>
                <w:top w:w="0" w:type="dxa"/>
                <w:left w:w="0" w:type="dxa"/>
                <w:bottom w:w="0" w:type="dxa"/>
                <w:right w:w="0" w:type="dxa"/>
              </w:tblCellMar>
            </w:tblPr>
            <w:tblGrid>
              <w:gridCol w:w="292"/>
              <w:gridCol w:w="550"/>
              <w:gridCol w:w="680"/>
              <w:gridCol w:w="553"/>
              <w:gridCol w:w="680"/>
              <w:gridCol w:w="3540"/>
            </w:tblGrid>
            <w:tr>
              <w:tblPrEx>
                <w:shd w:val="clear" w:color="auto" w:fill="auto"/>
                <w:tblCellMar>
                  <w:top w:w="0" w:type="dxa"/>
                  <w:left w:w="0" w:type="dxa"/>
                  <w:bottom w:w="0" w:type="dxa"/>
                  <w:right w:w="0" w:type="dxa"/>
                </w:tblCellMar>
              </w:tblPrEx>
              <w:trPr>
                <w:trHeight w:val="27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序号</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装置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事故类别</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事故级别</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时间</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事故名称</w:t>
                  </w:r>
                </w:p>
              </w:tc>
            </w:tr>
            <w:tr>
              <w:tblPrEx>
                <w:shd w:val="clear" w:color="auto" w:fill="auto"/>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煤油加氢</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2019.11.12</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作业失误造成压缩机润滑油压力低低联锁停车</w:t>
                  </w:r>
                </w:p>
              </w:tc>
            </w:tr>
            <w:tr>
              <w:tblPrEx>
                <w:shd w:val="clear" w:color="auto" w:fill="auto"/>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2020.2.24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加氢裂化装置反应温升异常处理不当引发进料中断非计划停工</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本月炼油二部问题通报:</w:t>
            </w:r>
          </w:p>
          <w:p>
            <w:pPr>
              <w:pStyle w:val="14"/>
              <w:numPr>
                <w:ilvl w:val="0"/>
                <w:numId w:val="0"/>
              </w:numPr>
              <w:ind w:firstLine="420" w:firstLineChars="200"/>
              <w:jc w:val="both"/>
              <w:rPr>
                <w:rFonts w:hint="default" w:ascii="宋体" w:hAnsi="宋体" w:eastAsia="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5月1日煤油加氢加热炉F101连锁停炉事件。</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本月应急事件：无</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事件级别：装置级</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事件名称：无</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本月重复发生的事件：无</w:t>
            </w: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二、安全管理方面</w:t>
            </w: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1、危险源辨识与风险评价</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w:t>
            </w:r>
            <w:r>
              <w:rPr>
                <w:rFonts w:hint="default" w:ascii="宋体" w:hAnsi="宋体" w:cs="宋体"/>
                <w:b w:val="0"/>
                <w:bCs/>
                <w:color w:val="000000" w:themeColor="text1"/>
                <w:kern w:val="2"/>
                <w:sz w:val="21"/>
                <w:szCs w:val="21"/>
                <w:highlight w:val="none"/>
                <w:lang w:val="en-US" w:eastAsia="zh-CN" w:bidi="ar-SA"/>
              </w:rPr>
              <w:t>根据各装置日常生产的各个重要操作节点和关键设备，统一做好风险辨识工作，将风险控制到最低，使得日常工作安全有序推进。如循环氢压缩机、反应进料泵启停等重大操作和关键设备，从安全角度出发，组织工艺、设备相关人员进行工作安全分析，明确操作步骤和结构，根据每一步骤存在的风险进行识别，制定风险管控措施。</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按照公司要求，接下来对部门JHA</w:t>
            </w:r>
            <w:bookmarkStart w:id="0" w:name="_GoBack"/>
            <w:bookmarkEnd w:id="0"/>
            <w:r>
              <w:rPr>
                <w:rFonts w:hint="eastAsia" w:ascii="宋体" w:hAnsi="宋体" w:cs="宋体"/>
                <w:b w:val="0"/>
                <w:bCs/>
                <w:color w:val="000000" w:themeColor="text1"/>
                <w:kern w:val="2"/>
                <w:sz w:val="21"/>
                <w:szCs w:val="21"/>
                <w:highlight w:val="none"/>
                <w:lang w:val="en-US" w:eastAsia="zh-CN" w:bidi="ar-SA"/>
              </w:rPr>
              <w:t>分析、SCL分析进行全员培训学习；对辨识出的危险源按照矩阵法进行风险评价，制定措施，</w:t>
            </w:r>
            <w:r>
              <w:rPr>
                <w:rFonts w:hint="default" w:ascii="宋体" w:hAnsi="宋体" w:cs="宋体"/>
                <w:b w:val="0"/>
                <w:bCs/>
                <w:color w:val="000000" w:themeColor="text1"/>
                <w:kern w:val="2"/>
                <w:sz w:val="21"/>
                <w:szCs w:val="21"/>
                <w:highlight w:val="none"/>
                <w:lang w:val="en-US" w:eastAsia="zh-CN" w:bidi="ar-SA"/>
              </w:rPr>
              <w:t>形成统一风险辨识结果</w:t>
            </w:r>
            <w:r>
              <w:rPr>
                <w:rFonts w:hint="eastAsia" w:ascii="宋体" w:hAnsi="宋体" w:cs="宋体"/>
                <w:b w:val="0"/>
                <w:bCs/>
                <w:color w:val="000000" w:themeColor="text1"/>
                <w:kern w:val="2"/>
                <w:sz w:val="21"/>
                <w:szCs w:val="21"/>
                <w:highlight w:val="none"/>
                <w:lang w:val="en-US" w:eastAsia="zh-CN" w:bidi="ar-SA"/>
              </w:rPr>
              <w:t>形成统一认识。</w:t>
            </w:r>
          </w:p>
          <w:p>
            <w:pPr>
              <w:pStyle w:val="14"/>
              <w:numPr>
                <w:ilvl w:val="0"/>
                <w:numId w:val="2"/>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危险化学品管理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炼油二部4套装置目前化学品共计44项，其中危险化学品29项，见危化品明细表：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10"/>
              <w:gridCol w:w="890"/>
              <w:gridCol w:w="1630"/>
              <w:gridCol w:w="790"/>
              <w:gridCol w:w="107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cs="宋体"/>
                      <w:b/>
                      <w:bCs w:val="0"/>
                      <w:color w:val="000000" w:themeColor="text1"/>
                      <w:kern w:val="2"/>
                      <w:sz w:val="13"/>
                      <w:szCs w:val="13"/>
                      <w:highlight w:val="none"/>
                      <w:vertAlign w:val="baseline"/>
                      <w:lang w:val="en-US" w:eastAsia="zh-CN" w:bidi="ar-SA"/>
                    </w:rPr>
                    <w:t>序号</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装置</w:t>
                  </w:r>
                </w:p>
              </w:tc>
              <w:tc>
                <w:tcPr>
                  <w:tcW w:w="8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名称</w:t>
                  </w:r>
                </w:p>
              </w:tc>
              <w:tc>
                <w:tcPr>
                  <w:tcW w:w="163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危险类别</w:t>
                  </w:r>
                </w:p>
              </w:tc>
              <w:tc>
                <w:tcPr>
                  <w:tcW w:w="7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CN危规号</w:t>
                  </w:r>
                </w:p>
              </w:tc>
              <w:tc>
                <w:tcPr>
                  <w:tcW w:w="107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年用量</w:t>
                  </w:r>
                </w:p>
              </w:tc>
              <w:tc>
                <w:tcPr>
                  <w:tcW w:w="1143"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CAS登记号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煤油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急性毒性5</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33501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130万吨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39480万方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石脑油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急性毒性4</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32004</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丁烷 106-97-8</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戊烷 109-66-0</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己烷 110-54-3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4</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5</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6</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rPr>
                    <w:t>柴油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可燃液体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无</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220万吨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color w:val="000000"/>
                      <w:sz w:val="13"/>
                      <w:szCs w:val="13"/>
                      <w:highlight w:val="none"/>
                      <w:shd w:val="clear" w:color="auto" w:fill="FFFFFF"/>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汽油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皮肤腐蚀/刺激：分类2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86290-81-5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8</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39480万标方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9</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10</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胺液MDEA</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第8.2 类碱性腐蚀品</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82507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3.78万吨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11</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二甲基二硫</w:t>
                  </w:r>
                  <w:r>
                    <w:rPr>
                      <w:rFonts w:hint="eastAsia" w:ascii="宋体" w:hAnsi="宋体" w:cs="宋体"/>
                      <w:kern w:val="0"/>
                      <w:sz w:val="13"/>
                      <w:szCs w:val="13"/>
                      <w:highlight w:val="none"/>
                      <w:lang w:eastAsia="zh-CN"/>
                    </w:rPr>
                    <w:t>（开工用）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急性毒性3</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32114 </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199.1吨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蜡油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14</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柴油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33501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14．7吨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15</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氢气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8.67万吨/年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16</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硫化氢</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21006</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4.25万吨/年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17</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33.68万吨</w:t>
                  </w:r>
                  <w:r>
                    <w:rPr>
                      <w:rFonts w:hint="eastAsia" w:ascii="宋体" w:hAnsi="宋体" w:cs="宋体"/>
                      <w:color w:val="000000"/>
                      <w:sz w:val="13"/>
                      <w:szCs w:val="13"/>
                      <w:highlight w:val="none"/>
                      <w:lang w:val="en-US" w:eastAsia="zh-CN"/>
                    </w:rPr>
                    <w:t>/</w:t>
                  </w:r>
                  <w:r>
                    <w:rPr>
                      <w:rFonts w:hint="eastAsia" w:ascii="宋体" w:hAnsi="宋体" w:eastAsia="宋体" w:cs="宋体"/>
                      <w:color w:val="000000"/>
                      <w:sz w:val="13"/>
                      <w:szCs w:val="13"/>
                      <w:highlight w:val="none"/>
                    </w:rPr>
                    <w:t>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18</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石脑油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易燃液体,第3.1项 低闪点液体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190万吨/年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8030-30-6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19</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13"/>
                      <w:szCs w:val="13"/>
                      <w:highlight w:val="none"/>
                    </w:rPr>
                  </w:pPr>
                  <w:r>
                    <w:rPr>
                      <w:rFonts w:hint="eastAsia" w:ascii="宋体" w:hAnsi="宋体" w:eastAsia="宋体" w:cs="宋体"/>
                      <w:color w:val="000000"/>
                      <w:sz w:val="13"/>
                      <w:szCs w:val="13"/>
                      <w:highlight w:val="none"/>
                    </w:rPr>
                    <w:t>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color w:val="000000"/>
                      <w:sz w:val="13"/>
                      <w:szCs w:val="13"/>
                      <w:highlight w:val="none"/>
                      <w:lang w:val="en-US" w:eastAsia="zh-CN"/>
                    </w:rPr>
                    <w:t>(开工用）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0.29万吨/年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20</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13"/>
                      <w:szCs w:val="13"/>
                      <w:highlight w:val="none"/>
                    </w:rPr>
                  </w:pPr>
                  <w:r>
                    <w:rPr>
                      <w:rFonts w:hint="eastAsia" w:ascii="宋体" w:hAnsi="宋体" w:eastAsia="宋体" w:cs="宋体"/>
                      <w:color w:val="000000"/>
                      <w:sz w:val="13"/>
                      <w:szCs w:val="13"/>
                      <w:highlight w:val="none"/>
                    </w:rPr>
                    <w:t>液氨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13"/>
                      <w:szCs w:val="13"/>
                      <w:highlight w:val="none"/>
                      <w:lang w:val="en-US" w:eastAsia="zh-CN"/>
                    </w:rPr>
                  </w:pPr>
                  <w:r>
                    <w:rPr>
                      <w:rFonts w:hint="eastAsia" w:ascii="宋体" w:hAnsi="宋体" w:cs="宋体"/>
                      <w:color w:val="000000"/>
                      <w:sz w:val="13"/>
                      <w:szCs w:val="13"/>
                      <w:highlight w:val="none"/>
                      <w:lang w:val="en-US" w:eastAsia="zh-CN"/>
                    </w:rPr>
                    <w:t>(开工用）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13"/>
                      <w:szCs w:val="13"/>
                      <w:highlight w:val="none"/>
                      <w:lang w:val="en-US" w:eastAsia="zh-CN"/>
                    </w:rPr>
                  </w:pP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气体,第2.4项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21</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13"/>
                      <w:szCs w:val="13"/>
                      <w:highlight w:val="none"/>
                    </w:rPr>
                  </w:pPr>
                  <w:r>
                    <w:rPr>
                      <w:rFonts w:hint="eastAsia" w:ascii="宋体" w:hAnsi="宋体" w:eastAsia="宋体" w:cs="宋体"/>
                      <w:color w:val="000000"/>
                      <w:sz w:val="13"/>
                      <w:szCs w:val="13"/>
                      <w:highlight w:val="none"/>
                    </w:rPr>
                    <w:t>片碱、烧碱</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13"/>
                      <w:szCs w:val="13"/>
                      <w:highlight w:val="none"/>
                      <w:lang w:val="en-US" w:eastAsia="zh-CN"/>
                    </w:rPr>
                  </w:pPr>
                  <w:r>
                    <w:rPr>
                      <w:rFonts w:hint="eastAsia" w:ascii="宋体" w:hAnsi="宋体" w:cs="宋体"/>
                      <w:color w:val="000000"/>
                      <w:sz w:val="13"/>
                      <w:szCs w:val="13"/>
                      <w:highlight w:val="none"/>
                      <w:lang w:eastAsia="zh-CN"/>
                    </w:rPr>
                    <w:t>（停工用）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第八类 腐蚀品,第8.2项 碱性腐蚀品</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82001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0.5吨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1310-73-2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22</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硫化剂DMDS</w:t>
                  </w:r>
                  <w:r>
                    <w:rPr>
                      <w:rFonts w:hint="eastAsia" w:ascii="宋体" w:hAnsi="宋体" w:cs="宋体"/>
                      <w:color w:val="000000"/>
                      <w:sz w:val="13"/>
                      <w:szCs w:val="13"/>
                      <w:highlight w:val="none"/>
                      <w:lang w:eastAsia="zh-CN"/>
                    </w:rPr>
                    <w:t>（开工用）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 第3．2项 中闪点易燃液体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32114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23</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胺液</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易燃液体,第3.3易燃液体和蒸汽</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27358</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24</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11810吨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25</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62.25万吨/年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26</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27</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异丁烷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21012</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22.29万吨/年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28</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乙烷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21009</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3.16万吨/年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29</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丙烯</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21018</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1.79万吨/年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115-07-1</w:t>
                  </w:r>
                </w:p>
              </w:tc>
            </w:tr>
          </w:tbl>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2"/>
              </w:numPr>
              <w:ind w:left="0" w:leftChars="0"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高风险作业管理</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3.1 从4月开始，HSE部要求每日高风险作业在施工结束后向HSE部反馈进度同时汇报第二天的高风险作业计划。对上报计划但今天不能执行的，当天上午10点前汇报HSE部门。</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3.2 高风险作业统计：本月炼油二部共开具各类高风险作业票证73张：其中特殊动火0张，一类动火25张、二类动火7张、高处作业26张、受限空间作业4张、起重吊装作业4张、临时用电7张、断路作业0张。高风险作业较上月数量有减少（4月共95张）：本月高风险作业主要集中在柴油加氢装置石脑油脱硫剂罐D204卸剂，以及加裂装置现场脚手架搭设拆除，具体见下表：</w:t>
            </w:r>
          </w:p>
          <w:tbl>
            <w:tblPr>
              <w:tblStyle w:val="5"/>
              <w:tblpPr w:leftFromText="180" w:rightFromText="180" w:vertAnchor="text" w:horzAnchor="page" w:tblpX="297" w:tblpY="232"/>
              <w:tblOverlap w:val="never"/>
              <w:tblW w:w="7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6"/>
              <w:gridCol w:w="500"/>
              <w:gridCol w:w="467"/>
              <w:gridCol w:w="542"/>
              <w:gridCol w:w="466"/>
              <w:gridCol w:w="542"/>
              <w:gridCol w:w="575"/>
              <w:gridCol w:w="708"/>
              <w:gridCol w:w="708"/>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509" w:type="dxa"/>
                  <w:gridSpan w:val="3"/>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动火作业</w:t>
                  </w:r>
                </w:p>
              </w:tc>
              <w:tc>
                <w:tcPr>
                  <w:tcW w:w="100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高处作业</w:t>
                  </w:r>
                </w:p>
              </w:tc>
              <w:tc>
                <w:tcPr>
                  <w:tcW w:w="57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受限空间作业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射线探伤作业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起重吊装作业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临时用电</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动土作业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断路作业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4"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w:t>
                  </w:r>
                  <w:r>
                    <w:rPr>
                      <w:rFonts w:hint="eastAsia" w:ascii="宋体" w:hAnsi="宋体" w:cs="宋体"/>
                      <w:b/>
                      <w:i w:val="0"/>
                      <w:color w:val="000000"/>
                      <w:kern w:val="0"/>
                      <w:sz w:val="13"/>
                      <w:szCs w:val="13"/>
                      <w:highlight w:val="none"/>
                      <w:u w:val="none"/>
                      <w:lang w:val="en-US" w:eastAsia="zh-CN" w:bidi="ar"/>
                    </w:rPr>
                    <w:t>类</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二</w:t>
                  </w:r>
                  <w:r>
                    <w:rPr>
                      <w:rFonts w:hint="eastAsia" w:ascii="宋体" w:hAnsi="宋体" w:cs="宋体"/>
                      <w:b/>
                      <w:i w:val="0"/>
                      <w:color w:val="000000"/>
                      <w:kern w:val="0"/>
                      <w:sz w:val="13"/>
                      <w:szCs w:val="13"/>
                      <w:highlight w:val="none"/>
                      <w:u w:val="none"/>
                      <w:lang w:val="en-US" w:eastAsia="zh-CN" w:bidi="ar"/>
                    </w:rPr>
                    <w:t>类</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一般</w:t>
                  </w:r>
                </w:p>
              </w:tc>
              <w:tc>
                <w:tcPr>
                  <w:tcW w:w="575"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0"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煤柴油加氢</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tabs>
                      <w:tab w:val="left" w:pos="356"/>
                    </w:tabs>
                    <w:kinsoku/>
                    <w:wordWrap/>
                    <w:overflowPunct/>
                    <w:topLinePunct w:val="0"/>
                    <w:autoSpaceDE/>
                    <w:autoSpaceDN/>
                    <w:bidi w:val="0"/>
                    <w:adjustRightInd/>
                    <w:snapToGrid/>
                    <w:spacing w:line="240" w:lineRule="exact"/>
                    <w:jc w:val="left"/>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ab/>
                  </w:r>
                  <w:r>
                    <w:rPr>
                      <w:rFonts w:hint="eastAsia" w:ascii="宋体" w:hAnsi="宋体" w:cs="宋体"/>
                      <w:i w:val="0"/>
                      <w:color w:val="000000"/>
                      <w:kern w:val="0"/>
                      <w:sz w:val="13"/>
                      <w:szCs w:val="13"/>
                      <w:highlight w:val="none"/>
                      <w:u w:val="none"/>
                      <w:lang w:val="en-US" w:eastAsia="zh-CN" w:bidi="ar"/>
                    </w:rPr>
                    <w:t>5</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6</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3"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加裂气分</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5</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20</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5</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1"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sz w:val="13"/>
                      <w:szCs w:val="13"/>
                      <w:highlight w:val="none"/>
                      <w:u w:val="none"/>
                      <w:lang w:val="en-US"/>
                    </w:rPr>
                  </w:pPr>
                  <w:r>
                    <w:rPr>
                      <w:rFonts w:hint="eastAsia" w:ascii="宋体" w:hAnsi="宋体" w:cs="宋体"/>
                      <w:b/>
                      <w:i w:val="0"/>
                      <w:color w:val="000000"/>
                      <w:kern w:val="0"/>
                      <w:sz w:val="13"/>
                      <w:szCs w:val="13"/>
                      <w:highlight w:val="none"/>
                      <w:u w:val="none"/>
                      <w:lang w:val="en-US" w:eastAsia="zh-CN" w:bidi="ar"/>
                    </w:rPr>
                    <w:t>5</w:t>
                  </w:r>
                  <w:r>
                    <w:rPr>
                      <w:rFonts w:hint="eastAsia" w:ascii="宋体" w:hAnsi="宋体" w:eastAsia="宋体" w:cs="宋体"/>
                      <w:b/>
                      <w:i w:val="0"/>
                      <w:color w:val="000000"/>
                      <w:kern w:val="0"/>
                      <w:sz w:val="13"/>
                      <w:szCs w:val="13"/>
                      <w:highlight w:val="none"/>
                      <w:u w:val="none"/>
                      <w:lang w:val="en-US" w:eastAsia="zh-CN" w:bidi="ar"/>
                    </w:rPr>
                    <w:t>月</w:t>
                  </w:r>
                  <w:r>
                    <w:rPr>
                      <w:rFonts w:hint="eastAsia" w:ascii="宋体" w:hAnsi="宋体" w:cs="宋体"/>
                      <w:b/>
                      <w:i w:val="0"/>
                      <w:color w:val="000000"/>
                      <w:kern w:val="0"/>
                      <w:sz w:val="13"/>
                      <w:szCs w:val="13"/>
                      <w:highlight w:val="none"/>
                      <w:u w:val="none"/>
                      <w:lang w:val="en-US" w:eastAsia="zh-CN" w:bidi="ar"/>
                    </w:rPr>
                    <w:t>合计</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25</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7</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26</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7</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bl>
          <w:p>
            <w:pPr>
              <w:pStyle w:val="14"/>
              <w:numPr>
                <w:ilvl w:val="0"/>
                <w:numId w:val="0"/>
              </w:numPr>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3.3高风险作业检查</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为更好营造炼油二部“安全作业 安全运行”的良好氛围，杜绝“三违”问题发生，结合运行阶段隐患排查活动特点，以全员开展安全检查的形式，提高员工的安全意识，提高安全操作水平。</w:t>
            </w:r>
          </w:p>
          <w:p>
            <w:pPr>
              <w:pStyle w:val="14"/>
              <w:numPr>
                <w:ilvl w:val="0"/>
                <w:numId w:val="2"/>
              </w:numPr>
              <w:ind w:left="0" w:leftChars="0"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2021年4月起要求监护人携带高风险作业监护规范中英文版本和公司下发的监护人卡。</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装置现场搭设拆除脚手架高处施工作业较多，且点多面广持续时间长。做到每项作业开始之前必定提问考试，并花费长时间在现场和监护人一起在现场进行风险辨识以及落实安全措施；柴油加氢石脑油脱硫剂罐D204卸剂清罐受限空间作业组织施工人员和作业负责人在施工现场开展安全喊话并逐项落实安全措施。</w:t>
            </w:r>
          </w:p>
          <w:p>
            <w:pPr>
              <w:pStyle w:val="14"/>
              <w:numPr>
                <w:ilvl w:val="0"/>
                <w:numId w:val="0"/>
              </w:numPr>
              <w:ind w:firstLine="422" w:firstLine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2" w:firstLine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4、日周月检管理</w:t>
            </w:r>
          </w:p>
          <w:tbl>
            <w:tblPr>
              <w:tblStyle w:val="6"/>
              <w:tblW w:w="7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256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vAlign w:val="center"/>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序号</w:t>
                  </w:r>
                </w:p>
              </w:tc>
              <w:tc>
                <w:tcPr>
                  <w:tcW w:w="2564" w:type="dxa"/>
                  <w:vAlign w:val="center"/>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检查内容</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加裂一班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加裂二班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加裂三班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加裂四班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加氢一班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加氢二班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加氢三班</w:t>
                  </w:r>
                </w:p>
              </w:tc>
              <w:tc>
                <w:tcPr>
                  <w:tcW w:w="454" w:type="dxa"/>
                </w:tcPr>
                <w:p>
                  <w:pPr>
                    <w:pStyle w:val="14"/>
                    <w:numPr>
                      <w:ilvl w:val="0"/>
                      <w:numId w:val="0"/>
                    </w:numPr>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加氢四班</w:t>
                  </w:r>
                </w:p>
              </w:tc>
              <w:tc>
                <w:tcPr>
                  <w:tcW w:w="454" w:type="dxa"/>
                </w:tcPr>
                <w:p>
                  <w:pPr>
                    <w:bidi w:val="0"/>
                    <w:jc w:val="both"/>
                    <w:rPr>
                      <w:rFonts w:hint="default"/>
                      <w:sz w:val="13"/>
                      <w:szCs w:val="13"/>
                      <w:highlight w:val="none"/>
                      <w:lang w:val="en-US" w:eastAsia="zh-CN"/>
                    </w:rPr>
                  </w:pPr>
                  <w:r>
                    <w:rPr>
                      <w:rFonts w:hint="eastAsia"/>
                      <w:sz w:val="13"/>
                      <w:szCs w:val="13"/>
                      <w:highlight w:val="none"/>
                      <w:lang w:val="en-US" w:eastAsia="zh-CN"/>
                    </w:rPr>
                    <w:t>安全专业</w:t>
                  </w:r>
                </w:p>
              </w:tc>
              <w:tc>
                <w:tcPr>
                  <w:tcW w:w="454" w:type="dxa"/>
                </w:tcPr>
                <w:p>
                  <w:pPr>
                    <w:pStyle w:val="14"/>
                    <w:numPr>
                      <w:ilvl w:val="0"/>
                      <w:numId w:val="0"/>
                    </w:numPr>
                    <w:jc w:val="both"/>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工艺专业</w:t>
                  </w:r>
                </w:p>
              </w:tc>
              <w:tc>
                <w:tcPr>
                  <w:tcW w:w="454" w:type="dxa"/>
                </w:tcPr>
                <w:p>
                  <w:pPr>
                    <w:bidi w:val="0"/>
                    <w:jc w:val="both"/>
                    <w:rPr>
                      <w:rFonts w:hint="default"/>
                      <w:sz w:val="13"/>
                      <w:szCs w:val="13"/>
                      <w:highlight w:val="none"/>
                      <w:lang w:val="en-US" w:eastAsia="zh-CN"/>
                    </w:rPr>
                  </w:pPr>
                  <w:r>
                    <w:rPr>
                      <w:rFonts w:hint="eastAsia"/>
                      <w:sz w:val="13"/>
                      <w:szCs w:val="13"/>
                      <w:highlight w:val="none"/>
                      <w:lang w:val="en-US" w:eastAsia="zh-CN"/>
                    </w:rPr>
                    <w:t>设备专业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高风险作业管理</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废水管理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废弃物管理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4</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废气管理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5</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检维修</w:t>
                  </w:r>
                  <w:r>
                    <w:rPr>
                      <w:rFonts w:hint="eastAsia" w:ascii="宋体" w:hAnsi="宋体" w:cs="宋体"/>
                      <w:b w:val="0"/>
                      <w:bCs/>
                      <w:color w:val="000000" w:themeColor="text1"/>
                      <w:kern w:val="2"/>
                      <w:sz w:val="15"/>
                      <w:szCs w:val="15"/>
                      <w:highlight w:val="none"/>
                      <w:vertAlign w:val="baseline"/>
                      <w:lang w:val="en-US" w:eastAsia="zh-CN" w:bidi="ar-SA"/>
                    </w:rPr>
                    <w:t>安全</w:t>
                  </w:r>
                  <w:r>
                    <w:rPr>
                      <w:rFonts w:hint="default" w:ascii="宋体" w:hAnsi="宋体" w:cs="宋体"/>
                      <w:b w:val="0"/>
                      <w:bCs/>
                      <w:color w:val="000000" w:themeColor="text1"/>
                      <w:kern w:val="2"/>
                      <w:sz w:val="15"/>
                      <w:szCs w:val="15"/>
                      <w:highlight w:val="none"/>
                      <w:vertAlign w:val="baseline"/>
                      <w:lang w:val="en-US" w:eastAsia="zh-CN" w:bidi="ar-SA"/>
                    </w:rPr>
                    <w:t>环保管理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6</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PPE劳动保护</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7</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消防安全管理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8</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安技装备、FGS</w:t>
                  </w:r>
                  <w:r>
                    <w:rPr>
                      <w:rFonts w:hint="default" w:ascii="宋体" w:hAnsi="宋体" w:cs="宋体"/>
                      <w:b w:val="0"/>
                      <w:bCs/>
                      <w:color w:val="000000" w:themeColor="text1"/>
                      <w:kern w:val="2"/>
                      <w:sz w:val="15"/>
                      <w:szCs w:val="15"/>
                      <w:highlight w:val="none"/>
                      <w:vertAlign w:val="baseline"/>
                      <w:lang w:val="en-US" w:eastAsia="zh-CN" w:bidi="ar-SA"/>
                    </w:rPr>
                    <w:t>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9</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风险辩识与隐患</w:t>
                  </w:r>
                  <w:r>
                    <w:rPr>
                      <w:rFonts w:hint="eastAsia" w:ascii="宋体" w:hAnsi="宋体" w:cs="宋体"/>
                      <w:b w:val="0"/>
                      <w:bCs/>
                      <w:color w:val="000000" w:themeColor="text1"/>
                      <w:kern w:val="2"/>
                      <w:sz w:val="15"/>
                      <w:szCs w:val="15"/>
                      <w:highlight w:val="none"/>
                      <w:vertAlign w:val="baseline"/>
                      <w:lang w:val="en-US" w:eastAsia="zh-CN" w:bidi="ar-SA"/>
                    </w:rPr>
                    <w:t>登记、</w:t>
                  </w:r>
                  <w:r>
                    <w:rPr>
                      <w:rFonts w:hint="default" w:ascii="宋体" w:hAnsi="宋体" w:cs="宋体"/>
                      <w:b w:val="0"/>
                      <w:bCs/>
                      <w:color w:val="000000" w:themeColor="text1"/>
                      <w:kern w:val="2"/>
                      <w:sz w:val="15"/>
                      <w:szCs w:val="15"/>
                      <w:highlight w:val="none"/>
                      <w:vertAlign w:val="baseline"/>
                      <w:lang w:val="en-US" w:eastAsia="zh-CN" w:bidi="ar-SA"/>
                    </w:rPr>
                    <w:t>治理管理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4</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10</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事故事件管理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11</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三违管理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12</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职业病危害因素管理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13</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职业病预防和控制</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14</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医疗救护</w:t>
                  </w:r>
                  <w:r>
                    <w:rPr>
                      <w:rFonts w:hint="eastAsia" w:ascii="宋体" w:hAnsi="宋体" w:cs="宋体"/>
                      <w:b w:val="0"/>
                      <w:bCs/>
                      <w:color w:val="000000" w:themeColor="text1"/>
                      <w:kern w:val="2"/>
                      <w:sz w:val="15"/>
                      <w:szCs w:val="15"/>
                      <w:highlight w:val="none"/>
                      <w:vertAlign w:val="baseline"/>
                      <w:lang w:val="en-US" w:eastAsia="zh-CN" w:bidi="ar-SA"/>
                    </w:rPr>
                    <w:t>与应急药品</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15</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消防设备、设施及器材管理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4</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4</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16</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基础管理</w:t>
                  </w:r>
                  <w:r>
                    <w:rPr>
                      <w:rFonts w:hint="eastAsia" w:ascii="宋体" w:hAnsi="宋体" w:cs="宋体"/>
                      <w:b w:val="0"/>
                      <w:bCs/>
                      <w:color w:val="000000" w:themeColor="text1"/>
                      <w:kern w:val="2"/>
                      <w:sz w:val="15"/>
                      <w:szCs w:val="15"/>
                      <w:highlight w:val="none"/>
                      <w:vertAlign w:val="baseline"/>
                      <w:lang w:val="en-US" w:eastAsia="zh-CN" w:bidi="ar-SA"/>
                    </w:rPr>
                    <w:t>（安全培训、定期日常工作）</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4</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3</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4</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17</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安全设施设备管理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18</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危险化学品管理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19</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应急管理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20</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环境因素识别与评价</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21</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职业健康监护和档案</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22</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职业卫生宣传教育</w:t>
                  </w:r>
                  <w:r>
                    <w:rPr>
                      <w:rFonts w:hint="eastAsia" w:ascii="宋体" w:hAnsi="宋体" w:cs="宋体"/>
                      <w:b w:val="0"/>
                      <w:bCs/>
                      <w:color w:val="000000" w:themeColor="text1"/>
                      <w:kern w:val="2"/>
                      <w:sz w:val="15"/>
                      <w:szCs w:val="15"/>
                      <w:highlight w:val="none"/>
                      <w:vertAlign w:val="baseline"/>
                      <w:lang w:val="en-US" w:eastAsia="zh-CN" w:bidi="ar-SA"/>
                    </w:rPr>
                    <w:t>、</w:t>
                  </w:r>
                  <w:r>
                    <w:rPr>
                      <w:rFonts w:hint="default" w:ascii="宋体" w:hAnsi="宋体" w:cs="宋体"/>
                      <w:b w:val="0"/>
                      <w:bCs/>
                      <w:color w:val="000000" w:themeColor="text1"/>
                      <w:kern w:val="2"/>
                      <w:sz w:val="15"/>
                      <w:szCs w:val="15"/>
                      <w:highlight w:val="none"/>
                      <w:vertAlign w:val="baseline"/>
                      <w:lang w:val="en-US" w:eastAsia="zh-CN" w:bidi="ar-SA"/>
                    </w:rPr>
                    <w:t>培训</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23</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HSE会议</w:t>
                  </w:r>
                  <w:r>
                    <w:rPr>
                      <w:rFonts w:hint="eastAsia" w:ascii="宋体" w:hAnsi="宋体" w:cs="宋体"/>
                      <w:b w:val="0"/>
                      <w:bCs/>
                      <w:color w:val="000000" w:themeColor="text1"/>
                      <w:kern w:val="2"/>
                      <w:sz w:val="15"/>
                      <w:szCs w:val="15"/>
                      <w:highlight w:val="none"/>
                      <w:vertAlign w:val="baseline"/>
                      <w:lang w:val="en-US" w:eastAsia="zh-CN" w:bidi="ar-SA"/>
                    </w:rPr>
                    <w:t>执行管理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24</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基础台账</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25</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启动前检查PSS</w:t>
                  </w:r>
                  <w:r>
                    <w:rPr>
                      <w:rFonts w:hint="eastAsia" w:ascii="宋体" w:hAnsi="宋体" w:cs="宋体"/>
                      <w:b w:val="0"/>
                      <w:bCs/>
                      <w:color w:val="000000" w:themeColor="text1"/>
                      <w:kern w:val="2"/>
                      <w:sz w:val="15"/>
                      <w:szCs w:val="15"/>
                      <w:highlight w:val="none"/>
                      <w:vertAlign w:val="baseline"/>
                      <w:lang w:val="en-US" w:eastAsia="zh-CN" w:bidi="ar-SA"/>
                    </w:rPr>
                    <w:t>R</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26</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消防</w:t>
                  </w:r>
                  <w:r>
                    <w:rPr>
                      <w:rFonts w:hint="eastAsia" w:ascii="宋体" w:hAnsi="宋体" w:cs="宋体"/>
                      <w:b w:val="0"/>
                      <w:bCs/>
                      <w:color w:val="000000" w:themeColor="text1"/>
                      <w:kern w:val="2"/>
                      <w:sz w:val="15"/>
                      <w:szCs w:val="15"/>
                      <w:highlight w:val="none"/>
                      <w:vertAlign w:val="baseline"/>
                      <w:lang w:val="en-US" w:eastAsia="zh-CN" w:bidi="ar-SA"/>
                    </w:rPr>
                    <w:t>、</w:t>
                  </w:r>
                  <w:r>
                    <w:rPr>
                      <w:rFonts w:hint="default" w:ascii="宋体" w:hAnsi="宋体" w:cs="宋体"/>
                      <w:b w:val="0"/>
                      <w:bCs/>
                      <w:color w:val="000000" w:themeColor="text1"/>
                      <w:kern w:val="2"/>
                      <w:sz w:val="15"/>
                      <w:szCs w:val="15"/>
                      <w:highlight w:val="none"/>
                      <w:vertAlign w:val="baseline"/>
                      <w:lang w:val="en-US" w:eastAsia="zh-CN" w:bidi="ar-SA"/>
                    </w:rPr>
                    <w:t>防火检查及应急救援队伍建设</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27</w:t>
                  </w: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default" w:ascii="宋体" w:hAnsi="宋体" w:cs="宋体"/>
                      <w:b w:val="0"/>
                      <w:bCs/>
                      <w:color w:val="000000" w:themeColor="text1"/>
                      <w:kern w:val="2"/>
                      <w:sz w:val="15"/>
                      <w:szCs w:val="15"/>
                      <w:highlight w:val="none"/>
                      <w:vertAlign w:val="baseline"/>
                      <w:lang w:val="en-US" w:eastAsia="zh-CN" w:bidi="ar-SA"/>
                    </w:rPr>
                    <w:t>门禁管理</w:t>
                  </w: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c>
                <w:tcPr>
                  <w:tcW w:w="454" w:type="dxa"/>
                </w:tcPr>
                <w:p>
                  <w:pPr>
                    <w:pStyle w:val="14"/>
                    <w:numPr>
                      <w:ilvl w:val="0"/>
                      <w:numId w:val="0"/>
                    </w:numPr>
                    <w:jc w:val="center"/>
                    <w:rPr>
                      <w:rFonts w:hint="default" w:ascii="宋体" w:hAnsi="宋体" w:cs="宋体"/>
                      <w:b w:val="0"/>
                      <w:bCs/>
                      <w:color w:val="000000" w:themeColor="text1"/>
                      <w:kern w:val="2"/>
                      <w:sz w:val="15"/>
                      <w:szCs w:val="15"/>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pStyle w:val="14"/>
                    <w:numPr>
                      <w:ilvl w:val="0"/>
                      <w:numId w:val="0"/>
                    </w:numPr>
                    <w:jc w:val="both"/>
                    <w:rPr>
                      <w:rFonts w:hint="eastAsia" w:ascii="宋体" w:hAnsi="宋体" w:cs="宋体"/>
                      <w:b w:val="0"/>
                      <w:bCs/>
                      <w:color w:val="000000" w:themeColor="text1"/>
                      <w:kern w:val="2"/>
                      <w:sz w:val="15"/>
                      <w:szCs w:val="15"/>
                      <w:highlight w:val="none"/>
                      <w:vertAlign w:val="baseline"/>
                      <w:lang w:val="en-US" w:eastAsia="zh-CN" w:bidi="ar-SA"/>
                    </w:rPr>
                  </w:pPr>
                </w:p>
              </w:tc>
              <w:tc>
                <w:tcPr>
                  <w:tcW w:w="2564" w:type="dxa"/>
                </w:tcPr>
                <w:p>
                  <w:pPr>
                    <w:pStyle w:val="14"/>
                    <w:numPr>
                      <w:ilvl w:val="0"/>
                      <w:numId w:val="0"/>
                    </w:numPr>
                    <w:jc w:val="both"/>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合计（落实绩效考核）</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9</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10</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14</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13</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8</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9</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8</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8</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0</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1</w:t>
                  </w:r>
                </w:p>
              </w:tc>
              <w:tc>
                <w:tcPr>
                  <w:tcW w:w="454"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5"/>
                      <w:szCs w:val="15"/>
                      <w:highlight w:val="none"/>
                      <w:vertAlign w:val="baseline"/>
                      <w:lang w:val="en-US" w:eastAsia="zh-CN" w:bidi="ar-SA"/>
                    </w:rPr>
                  </w:pPr>
                  <w:r>
                    <w:rPr>
                      <w:rFonts w:hint="eastAsia" w:ascii="宋体" w:hAnsi="宋体" w:cs="宋体"/>
                      <w:b w:val="0"/>
                      <w:bCs/>
                      <w:color w:val="000000" w:themeColor="text1"/>
                      <w:kern w:val="2"/>
                      <w:sz w:val="15"/>
                      <w:szCs w:val="15"/>
                      <w:highlight w:val="none"/>
                      <w:vertAlign w:val="baseline"/>
                      <w:lang w:val="en-US" w:eastAsia="zh-CN" w:bidi="ar-SA"/>
                    </w:rPr>
                    <w:t>0</w:t>
                  </w:r>
                </w:p>
              </w:tc>
            </w:tr>
          </w:tbl>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结合上述日周月检检查情况，问题主要集中在高风险作业监护，消防设施设备、检维修安全环保方面。都是日常工作或基础工作，还需要加大管理考核力度，另外从高风险作业和检维修作业过程中也发现人员风险危害辨识意识还不足或是风险危害辨识能力较低，这既表现在班组人员也表现在专业技术管理人员中，本月开始落实属地管理职责。</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加裂加氢各班组考核分值的差异主要是一些定期性和临时性的工作安排造成的，整体差距不大，这也说明各班组在执行HSE工作上思想是统一的，步调是一致的，各班组同心协力完成HSE工作。</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1、持续提高风险辨识水平，形成岗位管理意识</w:t>
            </w:r>
          </w:p>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 xml:space="preserve">    </w:t>
            </w:r>
            <w:r>
              <w:rPr>
                <w:rFonts w:hint="eastAsia" w:ascii="宋体" w:hAnsi="宋体" w:cs="宋体"/>
                <w:b w:val="0"/>
                <w:bCs/>
                <w:color w:val="000000" w:themeColor="text1"/>
                <w:kern w:val="2"/>
                <w:sz w:val="21"/>
                <w:szCs w:val="21"/>
                <w:highlight w:val="none"/>
                <w:lang w:val="en-US" w:eastAsia="zh-CN" w:bidi="ar-SA"/>
              </w:rPr>
              <w:t>目前班组</w:t>
            </w:r>
            <w:r>
              <w:rPr>
                <w:rFonts w:hint="default" w:ascii="宋体" w:hAnsi="宋体" w:cs="宋体"/>
                <w:b w:val="0"/>
                <w:bCs/>
                <w:color w:val="000000" w:themeColor="text1"/>
                <w:kern w:val="2"/>
                <w:sz w:val="21"/>
                <w:szCs w:val="21"/>
                <w:highlight w:val="none"/>
                <w:lang w:val="en-US" w:eastAsia="zh-CN" w:bidi="ar-SA"/>
              </w:rPr>
              <w:t>操作层面</w:t>
            </w:r>
            <w:r>
              <w:rPr>
                <w:rFonts w:hint="eastAsia" w:ascii="宋体" w:hAnsi="宋体" w:cs="宋体"/>
                <w:b w:val="0"/>
                <w:bCs/>
                <w:color w:val="000000" w:themeColor="text1"/>
                <w:kern w:val="2"/>
                <w:sz w:val="21"/>
                <w:szCs w:val="21"/>
                <w:highlight w:val="none"/>
                <w:lang w:val="en-US" w:eastAsia="zh-CN" w:bidi="ar-SA"/>
              </w:rPr>
              <w:t>还存在</w:t>
            </w:r>
            <w:r>
              <w:rPr>
                <w:rFonts w:hint="default" w:ascii="宋体" w:hAnsi="宋体" w:cs="宋体"/>
                <w:b w:val="0"/>
                <w:bCs/>
                <w:color w:val="000000" w:themeColor="text1"/>
                <w:kern w:val="2"/>
                <w:sz w:val="21"/>
                <w:szCs w:val="21"/>
                <w:highlight w:val="none"/>
                <w:lang w:val="en-US" w:eastAsia="zh-CN" w:bidi="ar-SA"/>
              </w:rPr>
              <w:t>“</w:t>
            </w:r>
            <w:r>
              <w:rPr>
                <w:rFonts w:hint="eastAsia" w:ascii="宋体" w:hAnsi="宋体" w:cs="宋体"/>
                <w:b w:val="0"/>
                <w:bCs/>
                <w:color w:val="000000" w:themeColor="text1"/>
                <w:kern w:val="2"/>
                <w:sz w:val="21"/>
                <w:szCs w:val="21"/>
                <w:highlight w:val="none"/>
                <w:lang w:val="en-US" w:eastAsia="zh-CN" w:bidi="ar-SA"/>
              </w:rPr>
              <w:t>被动整改</w:t>
            </w:r>
            <w:r>
              <w:rPr>
                <w:rFonts w:hint="default" w:ascii="宋体" w:hAnsi="宋体" w:cs="宋体"/>
                <w:b w:val="0"/>
                <w:bCs/>
                <w:color w:val="000000" w:themeColor="text1"/>
                <w:kern w:val="2"/>
                <w:sz w:val="21"/>
                <w:szCs w:val="21"/>
                <w:highlight w:val="none"/>
                <w:lang w:val="en-US" w:eastAsia="zh-CN" w:bidi="ar-SA"/>
              </w:rPr>
              <w:t>”思想，将现场风险管控提至班组管理的首要任务，形成班组风险自主管控的工作模式。比如由</w:t>
            </w:r>
            <w:r>
              <w:rPr>
                <w:rFonts w:hint="eastAsia" w:ascii="宋体" w:hAnsi="宋体" w:cs="宋体"/>
                <w:b w:val="0"/>
                <w:bCs/>
                <w:color w:val="000000" w:themeColor="text1"/>
                <w:kern w:val="2"/>
                <w:sz w:val="21"/>
                <w:szCs w:val="21"/>
                <w:highlight w:val="none"/>
                <w:lang w:val="en-US" w:eastAsia="zh-CN" w:bidi="ar-SA"/>
              </w:rPr>
              <w:t>项目负责人和</w:t>
            </w:r>
            <w:r>
              <w:rPr>
                <w:rFonts w:hint="default" w:ascii="宋体" w:hAnsi="宋体" w:cs="宋体"/>
                <w:b w:val="0"/>
                <w:bCs/>
                <w:color w:val="000000" w:themeColor="text1"/>
                <w:kern w:val="2"/>
                <w:sz w:val="21"/>
                <w:szCs w:val="21"/>
                <w:highlight w:val="none"/>
                <w:lang w:val="en-US" w:eastAsia="zh-CN" w:bidi="ar-SA"/>
              </w:rPr>
              <w:t>班长主持</w:t>
            </w:r>
            <w:r>
              <w:rPr>
                <w:rFonts w:hint="eastAsia" w:ascii="宋体" w:hAnsi="宋体" w:cs="宋体"/>
                <w:b w:val="0"/>
                <w:bCs/>
                <w:color w:val="000000" w:themeColor="text1"/>
                <w:kern w:val="2"/>
                <w:sz w:val="21"/>
                <w:szCs w:val="21"/>
                <w:highlight w:val="none"/>
                <w:lang w:val="en-US" w:eastAsia="zh-CN" w:bidi="ar-SA"/>
              </w:rPr>
              <w:t>作业现场安全喊话</w:t>
            </w:r>
            <w:r>
              <w:rPr>
                <w:rFonts w:hint="default" w:ascii="宋体" w:hAnsi="宋体" w:cs="宋体"/>
                <w:b w:val="0"/>
                <w:bCs/>
                <w:color w:val="000000" w:themeColor="text1"/>
                <w:kern w:val="2"/>
                <w:sz w:val="21"/>
                <w:szCs w:val="21"/>
                <w:highlight w:val="none"/>
                <w:lang w:val="en-US" w:eastAsia="zh-CN" w:bidi="ar-SA"/>
              </w:rPr>
              <w:t>工作进行危险源识别，特别是涉及高风险的作业，形成“风险清单”。其次在具体执行工作时，逐项确认“风险清单”内容，将具体的管控措施落地执行。最后，由</w:t>
            </w:r>
            <w:r>
              <w:rPr>
                <w:rFonts w:hint="eastAsia" w:ascii="宋体" w:hAnsi="宋体" w:cs="宋体"/>
                <w:b w:val="0"/>
                <w:bCs/>
                <w:color w:val="000000" w:themeColor="text1"/>
                <w:kern w:val="2"/>
                <w:sz w:val="21"/>
                <w:szCs w:val="21"/>
                <w:highlight w:val="none"/>
                <w:lang w:val="en-US" w:eastAsia="zh-CN" w:bidi="ar-SA"/>
              </w:rPr>
              <w:t>HSE</w:t>
            </w:r>
            <w:r>
              <w:rPr>
                <w:rFonts w:hint="default" w:ascii="宋体" w:hAnsi="宋体" w:cs="宋体"/>
                <w:b w:val="0"/>
                <w:bCs/>
                <w:color w:val="000000" w:themeColor="text1"/>
                <w:kern w:val="2"/>
                <w:sz w:val="21"/>
                <w:szCs w:val="21"/>
                <w:highlight w:val="none"/>
                <w:lang w:val="en-US" w:eastAsia="zh-CN" w:bidi="ar-SA"/>
              </w:rPr>
              <w:t>专业管理人员监督检查执行</w:t>
            </w:r>
            <w:r>
              <w:rPr>
                <w:rFonts w:hint="eastAsia" w:ascii="宋体" w:hAnsi="宋体" w:cs="宋体"/>
                <w:b w:val="0"/>
                <w:bCs/>
                <w:color w:val="000000" w:themeColor="text1"/>
                <w:kern w:val="2"/>
                <w:sz w:val="21"/>
                <w:szCs w:val="21"/>
                <w:highlight w:val="none"/>
                <w:lang w:val="en-US" w:eastAsia="zh-CN" w:bidi="ar-SA"/>
              </w:rPr>
              <w:t>情况</w:t>
            </w:r>
            <w:r>
              <w:rPr>
                <w:rFonts w:hint="default" w:ascii="宋体" w:hAnsi="宋体" w:cs="宋体"/>
                <w:b w:val="0"/>
                <w:bCs/>
                <w:color w:val="000000" w:themeColor="text1"/>
                <w:kern w:val="2"/>
                <w:sz w:val="21"/>
                <w:szCs w:val="21"/>
                <w:highlight w:val="none"/>
                <w:lang w:val="en-US" w:eastAsia="zh-CN" w:bidi="ar-SA"/>
              </w:rPr>
              <w:t>。从风险辨识到措施落实，充分发挥班组管理力量，从而达到提高班组风险管控水平的目的。</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2、筑牢班组安全管控基础，加大工作推行力度</w:t>
            </w:r>
          </w:p>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 xml:space="preserve">    安全工作有效执行是</w:t>
            </w:r>
            <w:r>
              <w:rPr>
                <w:rFonts w:hint="eastAsia" w:ascii="宋体" w:hAnsi="宋体" w:cs="宋体"/>
                <w:b w:val="0"/>
                <w:bCs/>
                <w:color w:val="000000" w:themeColor="text1"/>
                <w:kern w:val="2"/>
                <w:sz w:val="21"/>
                <w:szCs w:val="21"/>
                <w:highlight w:val="none"/>
                <w:lang w:val="en-US" w:eastAsia="zh-CN" w:bidi="ar-SA"/>
              </w:rPr>
              <w:t>装置安全生产</w:t>
            </w:r>
            <w:r>
              <w:rPr>
                <w:rFonts w:hint="default" w:ascii="宋体" w:hAnsi="宋体" w:cs="宋体"/>
                <w:b w:val="0"/>
                <w:bCs/>
                <w:color w:val="000000" w:themeColor="text1"/>
                <w:kern w:val="2"/>
                <w:sz w:val="21"/>
                <w:szCs w:val="21"/>
                <w:highlight w:val="none"/>
                <w:lang w:val="en-US" w:eastAsia="zh-CN" w:bidi="ar-SA"/>
              </w:rPr>
              <w:t>运行的前提，任重道艰但势在必行。</w:t>
            </w:r>
            <w:r>
              <w:rPr>
                <w:rFonts w:hint="eastAsia" w:ascii="宋体" w:hAnsi="宋体" w:cs="宋体"/>
                <w:b w:val="0"/>
                <w:bCs/>
                <w:color w:val="000000" w:themeColor="text1"/>
                <w:kern w:val="2"/>
                <w:sz w:val="21"/>
                <w:szCs w:val="21"/>
                <w:highlight w:val="none"/>
                <w:lang w:val="en-US" w:eastAsia="zh-CN" w:bidi="ar-SA"/>
              </w:rPr>
              <w:t>装置现场只要有高风险作业，就会有人员来检查提问考核，这也是HSE工作有别于其他专业的特点，</w:t>
            </w:r>
            <w:r>
              <w:rPr>
                <w:rFonts w:hint="default" w:ascii="宋体" w:hAnsi="宋体" w:cs="宋体"/>
                <w:b w:val="0"/>
                <w:bCs/>
                <w:color w:val="000000" w:themeColor="text1"/>
                <w:kern w:val="2"/>
                <w:sz w:val="21"/>
                <w:szCs w:val="21"/>
                <w:highlight w:val="none"/>
                <w:lang w:val="en-US" w:eastAsia="zh-CN" w:bidi="ar-SA"/>
              </w:rPr>
              <w:t>现阶段HSE各项工作在各专业、各岗位积极配合</w:t>
            </w:r>
            <w:r>
              <w:rPr>
                <w:rFonts w:hint="eastAsia" w:ascii="宋体" w:hAnsi="宋体" w:cs="宋体"/>
                <w:b w:val="0"/>
                <w:bCs/>
                <w:color w:val="000000" w:themeColor="text1"/>
                <w:kern w:val="2"/>
                <w:sz w:val="21"/>
                <w:szCs w:val="21"/>
                <w:highlight w:val="none"/>
                <w:lang w:val="en-US" w:eastAsia="zh-CN" w:bidi="ar-SA"/>
              </w:rPr>
              <w:t>专业化管理更强</w:t>
            </w:r>
            <w:r>
              <w:rPr>
                <w:rFonts w:hint="default" w:ascii="宋体" w:hAnsi="宋体" w:cs="宋体"/>
                <w:b w:val="0"/>
                <w:bCs/>
                <w:color w:val="000000" w:themeColor="text1"/>
                <w:kern w:val="2"/>
                <w:sz w:val="21"/>
                <w:szCs w:val="21"/>
                <w:highlight w:val="none"/>
                <w:lang w:val="en-US" w:eastAsia="zh-CN" w:bidi="ar-SA"/>
              </w:rPr>
              <w:t>，通过日周月检工作，充分暴露管理层面、操作层面的短板，有的放矢，不断纠偏、完善部门安全管理思路。做好安全管理工作仍是部门的重点、难点。</w:t>
            </w:r>
            <w:r>
              <w:rPr>
                <w:rFonts w:hint="eastAsia" w:ascii="宋体" w:hAnsi="宋体" w:cs="宋体"/>
                <w:b w:val="0"/>
                <w:bCs/>
                <w:color w:val="000000" w:themeColor="text1"/>
                <w:kern w:val="2"/>
                <w:sz w:val="21"/>
                <w:szCs w:val="21"/>
                <w:highlight w:val="none"/>
                <w:lang w:val="en-US" w:eastAsia="zh-CN" w:bidi="ar-SA"/>
              </w:rPr>
              <w:t>安全生产的</w:t>
            </w:r>
            <w:r>
              <w:rPr>
                <w:rFonts w:hint="default" w:ascii="宋体" w:hAnsi="宋体" w:cs="宋体"/>
                <w:b w:val="0"/>
                <w:bCs/>
                <w:color w:val="000000" w:themeColor="text1"/>
                <w:kern w:val="2"/>
                <w:sz w:val="21"/>
                <w:szCs w:val="21"/>
                <w:highlight w:val="none"/>
                <w:lang w:val="en-US" w:eastAsia="zh-CN" w:bidi="ar-SA"/>
              </w:rPr>
              <w:t>“基础”则在于各班组、因此班组基础工作仍是目前、往后部门HSE工作的重中之重</w:t>
            </w:r>
            <w:r>
              <w:rPr>
                <w:rFonts w:hint="eastAsia" w:ascii="宋体" w:hAnsi="宋体" w:cs="宋体"/>
                <w:b w:val="0"/>
                <w:bCs/>
                <w:color w:val="000000" w:themeColor="text1"/>
                <w:kern w:val="2"/>
                <w:sz w:val="21"/>
                <w:szCs w:val="21"/>
                <w:highlight w:val="none"/>
                <w:lang w:val="en-US" w:eastAsia="zh-CN" w:bidi="ar-SA"/>
              </w:rPr>
              <w:t>。</w:t>
            </w:r>
          </w:p>
          <w:p>
            <w:pPr>
              <w:pStyle w:val="14"/>
              <w:numPr>
                <w:ilvl w:val="0"/>
                <w:numId w:val="3"/>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环保管理方面</w:t>
            </w:r>
          </w:p>
          <w:p>
            <w:pPr>
              <w:pStyle w:val="14"/>
              <w:numPr>
                <w:ilvl w:val="0"/>
                <w:numId w:val="0"/>
              </w:numPr>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 xml:space="preserve">    </w:t>
            </w:r>
            <w:r>
              <w:rPr>
                <w:rFonts w:hint="eastAsia" w:ascii="宋体" w:hAnsi="宋体" w:cs="宋体"/>
                <w:b w:val="0"/>
                <w:bCs/>
                <w:color w:val="000000" w:themeColor="text1"/>
                <w:kern w:val="2"/>
                <w:sz w:val="21"/>
                <w:szCs w:val="21"/>
                <w:highlight w:val="none"/>
                <w:lang w:val="en-US" w:eastAsia="zh-CN" w:bidi="ar-SA"/>
              </w:rPr>
              <w:t>目前按HSE部管理要求，重新评估完成年度的《环境因素识别和评价表》，共辨识出10项环境因素，分别对不同状态的环境因素进行辨识评价，同时根据风险不同识别3项重要环境因素，提交HSE部。本月未更新。</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1、水体污染管理</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鉴于公司环保压力大，同时满足各装置运行期间外排污水受控，一方面对各装置内共计63口雨水井、67口含油污水井逐一清理，做好污水、雨排系统的正常投用工作，一方面做好水质监测工作，一旦发现乱排乱放情况要求责任班组进行清理，确保清污分流。HSE部要求炼油二部含油污水地漏全部封堵，避免雨水大量进入含油污水系统，安排班组执行到位，检查加裂27处，加氢14处，气分9处地漏全部封堵，气分封堵后效果明显，雨水基本不能进入含油污水系统。</w:t>
            </w:r>
          </w:p>
          <w:tbl>
            <w:tblPr>
              <w:tblStyle w:val="5"/>
              <w:tblW w:w="6750" w:type="dxa"/>
              <w:jc w:val="center"/>
              <w:shd w:val="clear" w:color="auto" w:fill="auto"/>
              <w:tblLayout w:type="fixed"/>
              <w:tblCellMar>
                <w:top w:w="0" w:type="dxa"/>
                <w:left w:w="0" w:type="dxa"/>
                <w:bottom w:w="0" w:type="dxa"/>
                <w:right w:w="0" w:type="dxa"/>
              </w:tblCellMar>
            </w:tblPr>
            <w:tblGrid>
              <w:gridCol w:w="1400"/>
              <w:gridCol w:w="1000"/>
              <w:gridCol w:w="1010"/>
              <w:gridCol w:w="1310"/>
              <w:gridCol w:w="640"/>
              <w:gridCol w:w="550"/>
              <w:gridCol w:w="840"/>
            </w:tblGrid>
            <w:tr>
              <w:tblPrEx>
                <w:tblCellMar>
                  <w:top w:w="0" w:type="dxa"/>
                  <w:left w:w="0" w:type="dxa"/>
                  <w:bottom w:w="0" w:type="dxa"/>
                  <w:right w:w="0" w:type="dxa"/>
                </w:tblCellMar>
              </w:tblPrEx>
              <w:trPr>
                <w:trHeight w:val="270" w:hRule="atLeast"/>
                <w:jc w:val="center"/>
              </w:trPr>
              <w:tc>
                <w:tcPr>
                  <w:tcW w:w="675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炼油二部含油污水各项指标</w:t>
                  </w:r>
                  <w:r>
                    <w:rPr>
                      <w:rFonts w:hint="eastAsia" w:ascii="宋体" w:hAnsi="宋体" w:cs="宋体"/>
                      <w:b/>
                      <w:bCs/>
                      <w:i w:val="0"/>
                      <w:color w:val="000000"/>
                      <w:kern w:val="0"/>
                      <w:sz w:val="13"/>
                      <w:szCs w:val="13"/>
                      <w:highlight w:val="none"/>
                      <w:u w:val="none"/>
                      <w:lang w:val="en-US" w:eastAsia="zh-CN" w:bidi="ar"/>
                    </w:rPr>
                    <w:t>总计</w:t>
                  </w:r>
                  <w:r>
                    <w:rPr>
                      <w:rFonts w:hint="eastAsia" w:ascii="宋体" w:hAnsi="宋体" w:eastAsia="宋体" w:cs="宋体"/>
                      <w:b/>
                      <w:bCs/>
                      <w:i w:val="0"/>
                      <w:color w:val="000000"/>
                      <w:kern w:val="0"/>
                      <w:sz w:val="13"/>
                      <w:szCs w:val="13"/>
                      <w:highlight w:val="none"/>
                      <w:u w:val="none"/>
                      <w:lang w:val="en-US" w:eastAsia="zh-CN" w:bidi="ar"/>
                    </w:rPr>
                    <w:t>（</w:t>
                  </w:r>
                  <w:r>
                    <w:rPr>
                      <w:rFonts w:hint="eastAsia" w:ascii="宋体" w:hAnsi="宋体" w:cs="宋体"/>
                      <w:b/>
                      <w:bCs/>
                      <w:i w:val="0"/>
                      <w:color w:val="000000"/>
                      <w:kern w:val="0"/>
                      <w:sz w:val="13"/>
                      <w:szCs w:val="13"/>
                      <w:highlight w:val="none"/>
                      <w:u w:val="none"/>
                      <w:lang w:val="en-US" w:eastAsia="zh-CN" w:bidi="ar"/>
                    </w:rPr>
                    <w:t>2021年5月</w:t>
                  </w:r>
                  <w:r>
                    <w:rPr>
                      <w:rFonts w:hint="eastAsia" w:ascii="宋体" w:hAnsi="宋体" w:eastAsia="宋体" w:cs="宋体"/>
                      <w:b/>
                      <w:bCs/>
                      <w:i w:val="0"/>
                      <w:color w:val="000000"/>
                      <w:kern w:val="0"/>
                      <w:sz w:val="13"/>
                      <w:szCs w:val="13"/>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组分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最大值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最小值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平均值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不合格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合格率</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CODcr,≤ 800,mg/L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39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&lt;10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rPr>
                <w:trHeight w:val="233"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PH值,6 ～ 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8.59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6.25</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7.</w:t>
                  </w:r>
                  <w:r>
                    <w:rPr>
                      <w:rFonts w:hint="eastAsia" w:ascii="宋体" w:hAnsi="宋体" w:cs="宋体"/>
                      <w:i w:val="0"/>
                      <w:color w:val="000000" w:themeColor="text1"/>
                      <w:kern w:val="0"/>
                      <w:sz w:val="13"/>
                      <w:szCs w:val="13"/>
                      <w:highlight w:val="none"/>
                      <w:u w:val="none"/>
                      <w:lang w:val="en-US" w:eastAsia="zh-CN" w:bidi="ar"/>
                    </w:rPr>
                    <w:t>65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油含量,≤ 200,mg/L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未分析</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sz w:val="13"/>
                      <w:szCs w:val="13"/>
                      <w:highlight w:val="none"/>
                      <w:u w:val="none"/>
                      <w:lang w:val="en-US" w:eastAsia="zh-CN"/>
                    </w:rPr>
                    <w:t>未分析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r>
            <w:tr>
              <w:tblPrEx>
                <w:shd w:val="clear" w:color="auto" w:fill="auto"/>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氨氮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0.96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&lt;0.10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4次分析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100</w:t>
                  </w:r>
                </w:p>
              </w:tc>
            </w:tr>
          </w:tbl>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5月炼油二部四套装置共取样22次，其中柴油加氢14次、加裂8次、气分0次。</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公用工程部不强制要求含油污水必须分析才能外送；一方面部门针对含油污水COD、含油量超标问题采取的相应措施已见成效：首先要求各装置不得将污油乱排乱放，做好污油收集清理工作；其次每月初将含油污水表面污油抽出至地下污油系统，使含油污水正常外排，减少对下游装置的冲击；再次，环保指标异常时及时进行污油处理，并与质检联系加样，分析异常时严禁外送含油污水。公用工程部近期加强了含油污水池的管理，在大雨后安排各装置逐个适量排放，以减少对含油污水总池的冲击。</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本月加氢、加裂继续清理装置内青苔，每周对班组进行检查要求，通过各班组处理，目前现场面貌良好。本月加裂消耗次氯酸钠约1/4桶，加氢消耗次氯酸钠约1/3桶，未补充。</w:t>
            </w:r>
          </w:p>
          <w:p>
            <w:pPr>
              <w:pStyle w:val="14"/>
              <w:numPr>
                <w:ilvl w:val="0"/>
                <w:numId w:val="0"/>
              </w:numPr>
              <w:ind w:firstLine="422" w:firstLine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2"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2、大气污染管理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5月20日对各加热炉进行烟气分析，各指标正常，未出现烟气超标、大气污染问题。</w:t>
            </w:r>
          </w:p>
          <w:tbl>
            <w:tblPr>
              <w:tblStyle w:val="6"/>
              <w:tblpPr w:leftFromText="180" w:rightFromText="180" w:vertAnchor="text" w:horzAnchor="page" w:tblpX="941"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351"/>
              <w:gridCol w:w="166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eastAsia" w:ascii="宋体" w:hAnsi="宋体" w:cs="宋体"/>
                      <w:b w:val="0"/>
                      <w:bCs/>
                      <w:color w:val="000000" w:themeColor="text1"/>
                      <w:kern w:val="2"/>
                      <w:sz w:val="18"/>
                      <w:szCs w:val="18"/>
                      <w:highlight w:val="none"/>
                      <w:vertAlign w:val="baseline"/>
                      <w:lang w:val="en-US" w:eastAsia="zh-CN" w:bidi="ar-SA"/>
                    </w:rPr>
                  </w:pPr>
                </w:p>
              </w:tc>
              <w:tc>
                <w:tcPr>
                  <w:tcW w:w="135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1040-F101</w:t>
                  </w:r>
                </w:p>
              </w:tc>
              <w:tc>
                <w:tcPr>
                  <w:tcW w:w="1662"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1020-F101</w:t>
                  </w:r>
                </w:p>
              </w:tc>
              <w:tc>
                <w:tcPr>
                  <w:tcW w:w="1663"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1030-F101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环境温度℃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烟气温度℃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122.6</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126.2</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氧含量%</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3.73</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4.87</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CO(ppm)</w:t>
                  </w:r>
                </w:p>
              </w:tc>
              <w:tc>
                <w:tcPr>
                  <w:tcW w:w="1351"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216</w:t>
                  </w:r>
                </w:p>
              </w:tc>
              <w:tc>
                <w:tcPr>
                  <w:tcW w:w="1663"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二氧化碳%</w:t>
                  </w:r>
                </w:p>
              </w:tc>
              <w:tc>
                <w:tcPr>
                  <w:tcW w:w="1351"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2"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3"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 xml:space="preserve">NO(ppm) </w:t>
                  </w:r>
                  <w:r>
                    <w:rPr>
                      <w:rFonts w:hint="eastAsia" w:ascii="宋体" w:hAnsi="宋体" w:cs="宋体"/>
                      <w:b w:val="0"/>
                      <w:bCs/>
                      <w:color w:val="000000" w:themeColor="text1"/>
                      <w:kern w:val="2"/>
                      <w:sz w:val="13"/>
                      <w:szCs w:val="13"/>
                      <w:highlight w:val="none"/>
                      <w:vertAlign w:val="baseline"/>
                      <w:lang w:val="en-US" w:eastAsia="zh-CN" w:bidi="ar-SA"/>
                    </w:rPr>
                    <w:t>＜150mg/m</w:t>
                  </w:r>
                  <w:r>
                    <w:rPr>
                      <w:rFonts w:hint="eastAsia" w:ascii="宋体" w:hAnsi="宋体" w:cs="宋体"/>
                      <w:b w:val="0"/>
                      <w:bCs/>
                      <w:color w:val="000000" w:themeColor="text1"/>
                      <w:kern w:val="2"/>
                      <w:sz w:val="13"/>
                      <w:szCs w:val="13"/>
                      <w:highlight w:val="none"/>
                      <w:vertAlign w:val="superscript"/>
                      <w:lang w:val="en-US" w:eastAsia="zh-CN" w:bidi="ar-SA"/>
                    </w:rPr>
                    <w:t>3</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29</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16</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氮氧化物(ppm)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30</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17</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SO</w:t>
                  </w:r>
                  <w:r>
                    <w:rPr>
                      <w:rFonts w:hint="eastAsia" w:ascii="宋体" w:hAnsi="宋体" w:cs="宋体"/>
                      <w:b/>
                      <w:bCs w:val="0"/>
                      <w:color w:val="000000" w:themeColor="text1"/>
                      <w:kern w:val="2"/>
                      <w:sz w:val="18"/>
                      <w:szCs w:val="18"/>
                      <w:highlight w:val="none"/>
                      <w:vertAlign w:val="subscript"/>
                      <w:lang w:val="en-US" w:eastAsia="zh-CN" w:bidi="ar-SA"/>
                    </w:rPr>
                    <w:t>2</w:t>
                  </w:r>
                  <w:r>
                    <w:rPr>
                      <w:rFonts w:hint="eastAsia" w:ascii="宋体" w:hAnsi="宋体" w:cs="宋体"/>
                      <w:b/>
                      <w:bCs w:val="0"/>
                      <w:color w:val="000000" w:themeColor="text1"/>
                      <w:kern w:val="2"/>
                      <w:sz w:val="18"/>
                      <w:szCs w:val="18"/>
                      <w:highlight w:val="none"/>
                      <w:vertAlign w:val="baseline"/>
                      <w:lang w:val="en-US" w:eastAsia="zh-CN" w:bidi="ar-SA"/>
                    </w:rPr>
                    <w:t xml:space="preserve">(ppm) </w:t>
                  </w:r>
                  <w:r>
                    <w:rPr>
                      <w:rFonts w:hint="eastAsia" w:ascii="宋体" w:hAnsi="宋体" w:cs="宋体"/>
                      <w:b w:val="0"/>
                      <w:bCs/>
                      <w:color w:val="000000" w:themeColor="text1"/>
                      <w:kern w:val="2"/>
                      <w:sz w:val="13"/>
                      <w:szCs w:val="13"/>
                      <w:highlight w:val="none"/>
                      <w:vertAlign w:val="baseline"/>
                      <w:lang w:val="en-US" w:eastAsia="zh-CN" w:bidi="ar-SA"/>
                    </w:rPr>
                    <w:t>＜100mg/m</w:t>
                  </w:r>
                  <w:r>
                    <w:rPr>
                      <w:rFonts w:hint="eastAsia" w:ascii="宋体" w:hAnsi="宋体" w:cs="宋体"/>
                      <w:b w:val="0"/>
                      <w:bCs/>
                      <w:color w:val="000000" w:themeColor="text1"/>
                      <w:kern w:val="2"/>
                      <w:sz w:val="13"/>
                      <w:szCs w:val="13"/>
                      <w:highlight w:val="none"/>
                      <w:vertAlign w:val="superscript"/>
                      <w:lang w:val="en-US" w:eastAsia="zh-CN" w:bidi="ar-SA"/>
                    </w:rPr>
                    <w:t>3</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r>
          </w:tbl>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3、废弃物管理</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炼油二部根据公司要求，定点放置工业固废、危险废弃物收集桶，做好垃圾分类工作。</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Theme="minorEastAsia" w:hAnsiTheme="minorEastAsia" w:cstheme="minorEastAsia"/>
                <w:color w:val="auto"/>
                <w:sz w:val="21"/>
                <w:szCs w:val="21"/>
                <w:highlight w:val="none"/>
                <w:lang w:val="en-US" w:eastAsia="zh-CN"/>
              </w:rPr>
              <w:t>本月联系承包商清运装置内固废桶和危废桶内垃圾2次，同时部门对班组垃圾清理及分类情况进行检查。未发现问题。</w:t>
            </w:r>
            <w:r>
              <w:rPr>
                <w:rFonts w:hint="eastAsia" w:ascii="宋体" w:hAnsi="宋体" w:cs="宋体"/>
                <w:b w:val="0"/>
                <w:bCs/>
                <w:color w:val="auto"/>
                <w:kern w:val="2"/>
                <w:sz w:val="21"/>
                <w:szCs w:val="21"/>
                <w:highlight w:val="none"/>
                <w:lang w:val="en-US" w:eastAsia="zh-CN" w:bidi="ar-SA"/>
              </w:rPr>
              <w:t>现场卫生保持整洁。加强对固体废物的检查，杜绝危废和一般固废混放。</w:t>
            </w:r>
          </w:p>
          <w:p>
            <w:pPr>
              <w:pStyle w:val="4"/>
              <w:numPr>
                <w:ilvl w:val="0"/>
                <w:numId w:val="0"/>
              </w:numPr>
              <w:spacing w:line="240" w:lineRule="auto"/>
              <w:ind w:firstLine="420" w:firstLineChars="200"/>
              <w:jc w:val="left"/>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5月柴油加氢装置石脑油脱硫剂罐D204卸剂产出的废脱硫剂按照废弃物转移处置流程提交相关OA和化验分析数据后及时清运，避免长时间在装置存放。因D204卸剂导致地面脏的卫生问题也处理干净。</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default" w:asciiTheme="minorEastAsia" w:hAnsiTheme="minorEastAsia" w:cstheme="minorEastAsia"/>
                <w:color w:val="auto"/>
                <w:sz w:val="21"/>
                <w:szCs w:val="21"/>
                <w:highlight w:val="none"/>
                <w:lang w:val="en-US" w:eastAsia="zh-CN"/>
              </w:rPr>
              <w:t>加氢润滑油库房旁平时倒废油的桶已经移到压缩机厂房和化剂统一摆放</w:t>
            </w:r>
            <w:r>
              <w:rPr>
                <w:rFonts w:hint="eastAsia" w:asciiTheme="minorEastAsia" w:hAnsiTheme="minorEastAsia" w:cstheme="minorEastAsia"/>
                <w:color w:val="auto"/>
                <w:sz w:val="21"/>
                <w:szCs w:val="21"/>
                <w:highlight w:val="none"/>
                <w:lang w:val="en-US" w:eastAsia="zh-CN"/>
              </w:rPr>
              <w:t>。</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5月装置现场缓蚀剂、润滑油</w:t>
            </w:r>
            <w:r>
              <w:rPr>
                <w:rFonts w:hint="default" w:ascii="宋体" w:hAnsi="宋体" w:cs="宋体"/>
                <w:b w:val="0"/>
                <w:bCs/>
                <w:color w:val="auto"/>
                <w:kern w:val="2"/>
                <w:sz w:val="21"/>
                <w:szCs w:val="21"/>
                <w:highlight w:val="none"/>
                <w:lang w:val="en-US" w:eastAsia="zh-CN" w:bidi="ar-SA"/>
              </w:rPr>
              <w:t>空桶</w:t>
            </w:r>
            <w:r>
              <w:rPr>
                <w:rFonts w:hint="eastAsia" w:ascii="宋体" w:hAnsi="宋体" w:cs="宋体"/>
                <w:b w:val="0"/>
                <w:bCs/>
                <w:color w:val="auto"/>
                <w:kern w:val="2"/>
                <w:sz w:val="21"/>
                <w:szCs w:val="21"/>
                <w:highlight w:val="none"/>
                <w:lang w:val="en-US" w:eastAsia="zh-CN" w:bidi="ar-SA"/>
              </w:rPr>
              <w:t>共23个已清理。</w:t>
            </w:r>
          </w:p>
          <w:p>
            <w:pPr>
              <w:pStyle w:val="4"/>
              <w:numPr>
                <w:ilvl w:val="0"/>
                <w:numId w:val="0"/>
              </w:numPr>
              <w:spacing w:line="240" w:lineRule="auto"/>
              <w:ind w:firstLine="422" w:firstLineChars="200"/>
              <w:jc w:val="left"/>
              <w:rPr>
                <w:rFonts w:hint="eastAsia" w:ascii="宋体" w:hAnsi="宋体" w:cs="宋体"/>
                <w:b/>
                <w:bCs/>
                <w:color w:val="000000" w:themeColor="text1"/>
                <w:kern w:val="2"/>
                <w:sz w:val="21"/>
                <w:szCs w:val="21"/>
                <w:highlight w:val="none"/>
                <w:lang w:val="en-US" w:eastAsia="zh-CN" w:bidi="ar-SA"/>
              </w:rPr>
            </w:pPr>
            <w:r>
              <w:rPr>
                <w:rFonts w:hint="eastAsia" w:asciiTheme="minorEastAsia" w:hAnsiTheme="minorEastAsia" w:cstheme="minorEastAsia"/>
                <w:b/>
                <w:bCs/>
                <w:color w:val="auto"/>
                <w:sz w:val="21"/>
                <w:szCs w:val="21"/>
                <w:highlight w:val="none"/>
                <w:lang w:val="en-US" w:eastAsia="zh-CN"/>
              </w:rPr>
              <w:t>四、</w:t>
            </w:r>
            <w:r>
              <w:rPr>
                <w:rFonts w:hint="eastAsia" w:ascii="宋体" w:hAnsi="宋体" w:cs="宋体"/>
                <w:b/>
                <w:bCs/>
                <w:color w:val="000000" w:themeColor="text1"/>
                <w:kern w:val="2"/>
                <w:sz w:val="21"/>
                <w:szCs w:val="21"/>
                <w:highlight w:val="none"/>
                <w:lang w:val="en-US" w:eastAsia="zh-CN" w:bidi="ar-SA"/>
              </w:rPr>
              <w:t>职业健康管理方面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1、噪声管理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从2021年开始对全部门的巡检点进行噪声检测，与去年的数据对比如下表，其中加裂装置内3处噪声超指标、装置边界2处超指标。与去年相比加裂A101处由于空冷降速，A207间歇运行，噪声下降明显。装置整体符合国家标准噪声指标要求，已进行噪声监测公示提示，对噪声值较大区域设置标识牌，提醒附近操作人员做好防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110"/>
              <w:gridCol w:w="753"/>
              <w:gridCol w:w="717"/>
              <w:gridCol w:w="790"/>
              <w:gridCol w:w="840"/>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area</w:t>
                  </w:r>
                  <w:r>
                    <w:rPr>
                      <w:rFonts w:hint="eastAsia"/>
                      <w:b/>
                      <w:bCs/>
                      <w:sz w:val="13"/>
                      <w:szCs w:val="13"/>
                      <w:highlight w:val="none"/>
                      <w:vertAlign w:val="baseline"/>
                      <w:lang w:val="en-US" w:eastAsia="zh-CN"/>
                    </w:rPr>
                    <w:br w:type="textWrapping"/>
                  </w:r>
                  <w:r>
                    <w:rPr>
                      <w:rFonts w:hint="eastAsia"/>
                      <w:b/>
                      <w:bCs/>
                      <w:sz w:val="13"/>
                      <w:szCs w:val="13"/>
                      <w:highlight w:val="none"/>
                      <w:vertAlign w:val="baseline"/>
                      <w:lang w:val="en-US" w:eastAsia="zh-CN"/>
                    </w:rPr>
                    <w:t>采样区域</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 xml:space="preserve">location </w:t>
                  </w:r>
                  <w:r>
                    <w:rPr>
                      <w:rFonts w:hint="eastAsia"/>
                      <w:b/>
                      <w:bCs/>
                      <w:sz w:val="13"/>
                      <w:szCs w:val="13"/>
                      <w:highlight w:val="none"/>
                      <w:vertAlign w:val="baseline"/>
                      <w:lang w:val="en-US" w:eastAsia="zh-CN"/>
                    </w:rPr>
                    <w:br w:type="textWrapping"/>
                  </w:r>
                  <w:r>
                    <w:rPr>
                      <w:rFonts w:hint="eastAsia"/>
                      <w:b/>
                      <w:bCs/>
                      <w:sz w:val="13"/>
                      <w:szCs w:val="13"/>
                      <w:highlight w:val="none"/>
                      <w:vertAlign w:val="baseline"/>
                      <w:lang w:val="en-US" w:eastAsia="zh-CN"/>
                    </w:rPr>
                    <w:t>采样点</w:t>
                  </w:r>
                </w:p>
              </w:tc>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3"/>
                      <w:szCs w:val="13"/>
                      <w:highlight w:val="none"/>
                      <w:vertAlign w:val="baseline"/>
                      <w:lang w:val="en-US" w:eastAsia="zh-CN"/>
                    </w:rPr>
                  </w:pPr>
                  <w:r>
                    <w:rPr>
                      <w:rFonts w:hint="eastAsia"/>
                      <w:b/>
                      <w:bCs/>
                      <w:sz w:val="13"/>
                      <w:szCs w:val="13"/>
                      <w:highlight w:val="none"/>
                      <w:vertAlign w:val="baseline"/>
                      <w:lang w:val="en-US" w:eastAsia="zh-CN"/>
                    </w:rPr>
                    <w:t>Project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分析项目</w:t>
                  </w:r>
                </w:p>
              </w:tc>
              <w:tc>
                <w:tcPr>
                  <w:tcW w:w="7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Measure</w:t>
                  </w:r>
                  <w:r>
                    <w:rPr>
                      <w:rFonts w:hint="eastAsia"/>
                      <w:b/>
                      <w:bCs/>
                      <w:sz w:val="13"/>
                      <w:szCs w:val="13"/>
                      <w:highlight w:val="none"/>
                      <w:vertAlign w:val="baseline"/>
                      <w:lang w:val="en-US" w:eastAsia="zh-CN"/>
                    </w:rPr>
                    <w:br w:type="textWrapping"/>
                  </w:r>
                  <w:r>
                    <w:rPr>
                      <w:rFonts w:hint="eastAsia"/>
                      <w:b/>
                      <w:bCs/>
                      <w:sz w:val="13"/>
                      <w:szCs w:val="13"/>
                      <w:highlight w:val="none"/>
                      <w:vertAlign w:val="baseline"/>
                      <w:lang w:val="en-US" w:eastAsia="zh-CN"/>
                    </w:rPr>
                    <w:t>单位</w:t>
                  </w:r>
                </w:p>
              </w:tc>
              <w:tc>
                <w:tcPr>
                  <w:tcW w:w="24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3"/>
                      <w:szCs w:val="13"/>
                      <w:highlight w:val="none"/>
                      <w:vertAlign w:val="baseline"/>
                    </w:rPr>
                  </w:pPr>
                  <w:r>
                    <w:rPr>
                      <w:rFonts w:hint="eastAsia"/>
                      <w:b/>
                      <w:bCs/>
                      <w:sz w:val="13"/>
                      <w:szCs w:val="13"/>
                      <w:highlight w:val="none"/>
                      <w:vertAlign w:val="baseline"/>
                      <w:lang w:val="en-US" w:eastAsia="zh-CN"/>
                    </w:rPr>
                    <w:t>Measurements测量值</w:t>
                  </w:r>
                </w:p>
              </w:tc>
              <w:tc>
                <w:tcPr>
                  <w:tcW w:w="9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index指标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2020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2021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p>
              </w:tc>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Inside the hydrocracking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加裂装置内部</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原料区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71.2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炉反区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分馏一区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分馏二区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胺液区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P104旁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K101一层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K101二层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K102A一层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K102A二层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K102C一层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K102C二层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PRA北侧</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80.8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PRA南侧 </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82.5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C00000"/>
                      <w:sz w:val="13"/>
                      <w:szCs w:val="13"/>
                      <w:highlight w:val="none"/>
                      <w:vertAlign w:val="baseline"/>
                    </w:rPr>
                  </w:pPr>
                  <w:r>
                    <w:rPr>
                      <w:rFonts w:hint="eastAsia"/>
                      <w:color w:val="C00000"/>
                      <w:sz w:val="13"/>
                      <w:szCs w:val="13"/>
                      <w:highlight w:val="none"/>
                      <w:vertAlign w:val="baseline"/>
                      <w:lang w:val="en-US" w:eastAsia="zh-CN"/>
                    </w:rPr>
                    <w:t xml:space="preserve">急冷氢管线 </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88.2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eastAsiaTheme="minorEastAsia"/>
                      <w:color w:val="C00000"/>
                      <w:sz w:val="13"/>
                      <w:szCs w:val="13"/>
                      <w:highlight w:val="none"/>
                      <w:vertAlign w:val="baseline"/>
                      <w:lang w:val="en-US" w:eastAsia="zh-CN"/>
                    </w:rPr>
                    <w:t>89.2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P101旁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92.5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92.2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P102旁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91.8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92.0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P217旁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93.5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92.3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81.5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A202</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83.3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A204</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81.8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A205</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83.6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A207</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93.1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80.5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Hydrocracking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67.5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67.7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67.2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67.1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70.9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装置西南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auto"/>
                      <w:sz w:val="13"/>
                      <w:szCs w:val="13"/>
                      <w:highlight w:val="none"/>
                      <w:vertAlign w:val="baseline"/>
                      <w:lang w:val="en-US" w:eastAsia="zh-CN"/>
                    </w:rPr>
                    <w:t>74.9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75.5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装置正西</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auto"/>
                      <w:sz w:val="13"/>
                      <w:szCs w:val="13"/>
                      <w:highlight w:val="none"/>
                      <w:vertAlign w:val="baseline"/>
                      <w:lang w:val="en-US" w:eastAsia="zh-CN"/>
                    </w:rPr>
                    <w:t>74.1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75.3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装置西北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73.9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Inside the LPG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气分装置内</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P101AB旁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P203AB旁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80.7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P302AB旁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88.9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78.7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A201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80.4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A301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81.9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LPG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69.5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70.2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70.7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Inside the Hydrogenation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 w:val="13"/>
                      <w:szCs w:val="13"/>
                      <w:highlight w:val="none"/>
                      <w:vertAlign w:val="baseline"/>
                      <w:lang w:val="en-US" w:eastAsia="zh-CN"/>
                    </w:rPr>
                  </w:pPr>
                  <w:r>
                    <w:rPr>
                      <w:rFonts w:hint="eastAsia"/>
                      <w:sz w:val="13"/>
                      <w:szCs w:val="13"/>
                      <w:highlight w:val="none"/>
                      <w:vertAlign w:val="baseline"/>
                      <w:lang w:val="en-US" w:eastAsia="zh-CN"/>
                    </w:rPr>
                    <w:t>煤柴油加氢装置内</w:t>
                  </w: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压缩机二层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78.5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C00000"/>
                      <w:sz w:val="13"/>
                      <w:szCs w:val="13"/>
                      <w:highlight w:val="none"/>
                      <w:vertAlign w:val="baseline"/>
                      <w:lang w:val="en-US" w:eastAsia="zh-CN"/>
                    </w:rPr>
                  </w:pPr>
                  <w:r>
                    <w:rPr>
                      <w:rFonts w:hint="eastAsia" w:ascii="宋体" w:hAnsi="宋体" w:eastAsia="宋体" w:cs="宋体"/>
                      <w:color w:val="C00000"/>
                      <w:sz w:val="13"/>
                      <w:szCs w:val="13"/>
                      <w:highlight w:val="none"/>
                    </w:rPr>
                    <w:t>煤油P-101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煤油分馏区顶</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航煤高低分</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加热炉区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80.1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柴油反应区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空冷区主管架</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泵区及软水站</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公用工程区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低分气脱硫区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压缩机二层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color w:val="C00000"/>
                      <w:sz w:val="13"/>
                      <w:szCs w:val="13"/>
                      <w:highlight w:val="none"/>
                      <w:vertAlign w:val="baseline"/>
                      <w:lang w:val="en-US" w:eastAsia="zh-CN"/>
                    </w:rPr>
                    <w:t>煤油P-101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82.4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88.3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CIS-201分馏区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加热炉区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柴油反应区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高处空冷区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冷油泵区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C00000"/>
                      <w:sz w:val="13"/>
                      <w:szCs w:val="13"/>
                      <w:highlight w:val="none"/>
                      <w:vertAlign w:val="baseline"/>
                      <w:lang w:val="en-US" w:eastAsia="zh-CN"/>
                    </w:rPr>
                  </w:pPr>
                  <w:r>
                    <w:rPr>
                      <w:rFonts w:hint="eastAsia" w:ascii="宋体" w:hAnsi="宋体" w:eastAsia="宋体" w:cs="宋体"/>
                      <w:color w:val="C00000"/>
                      <w:sz w:val="13"/>
                      <w:szCs w:val="13"/>
                      <w:highlight w:val="none"/>
                    </w:rPr>
                    <w:t>热油泵区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87.2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柴油高换区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柴油分馏区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P-102原料区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低分脱硫区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Hydrogenation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煤柴油加氢装置边界</w:t>
                  </w: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装置东侧北角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65.4</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装置东侧中间</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72.3</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装置东侧南角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74.6</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装置西侧北角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71.4</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装置西侧中间</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73.6</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装置西侧北角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73.8</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bl>
          <w:p>
            <w:pPr>
              <w:pStyle w:val="14"/>
              <w:numPr>
                <w:ilvl w:val="0"/>
                <w:numId w:val="0"/>
              </w:numPr>
              <w:ind w:firstLine="420" w:firstLineChars="200"/>
              <w:jc w:val="both"/>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本月质检部未对各装置进行噪声检测。</w:t>
            </w:r>
          </w:p>
          <w:p>
            <w:pPr>
              <w:pStyle w:val="14"/>
              <w:numPr>
                <w:ilvl w:val="0"/>
                <w:numId w:val="0"/>
              </w:numPr>
              <w:ind w:firstLine="420" w:firstLineChars="200"/>
              <w:jc w:val="both"/>
              <w:rPr>
                <w:rFonts w:hint="default" w:asciiTheme="minorEastAsia" w:hAnsiTheme="minorEastAsia" w:eastAsiaTheme="minorEastAsia" w:cstheme="minorEastAsia"/>
                <w:color w:val="000000" w:themeColor="text1"/>
                <w:sz w:val="21"/>
                <w:szCs w:val="21"/>
                <w:highlight w:val="none"/>
                <w:lang w:val="en-US" w:eastAsia="zh-CN"/>
              </w:rPr>
            </w:pPr>
          </w:p>
          <w:p>
            <w:pPr>
              <w:pStyle w:val="14"/>
              <w:numPr>
                <w:ilvl w:val="0"/>
                <w:numId w:val="4"/>
              </w:numPr>
              <w:ind w:firstLine="420"/>
              <w:jc w:val="both"/>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硫化氢检测：</w:t>
            </w:r>
            <w:r>
              <w:rPr>
                <w:rFonts w:hint="eastAsia" w:asciiTheme="minorEastAsia" w:hAnsiTheme="minorEastAsia" w:eastAsiaTheme="minorEastAsia" w:cstheme="minorEastAsia"/>
                <w:b w:val="0"/>
                <w:bCs w:val="0"/>
                <w:color w:val="auto"/>
                <w:sz w:val="21"/>
                <w:szCs w:val="21"/>
                <w:highlight w:val="none"/>
                <w:lang w:val="en-US" w:eastAsia="zh-CN"/>
              </w:rPr>
              <w:t>各检测点未检出硫化氢</w:t>
            </w:r>
          </w:p>
          <w:tbl>
            <w:tblPr>
              <w:tblStyle w:val="5"/>
              <w:tblW w:w="11820" w:type="dxa"/>
              <w:tblInd w:w="93" w:type="dxa"/>
              <w:shd w:val="clear" w:color="auto" w:fill="auto"/>
              <w:tblLayout w:type="fixed"/>
              <w:tblCellMar>
                <w:top w:w="0" w:type="dxa"/>
                <w:left w:w="108" w:type="dxa"/>
                <w:bottom w:w="0" w:type="dxa"/>
                <w:right w:w="108" w:type="dxa"/>
              </w:tblCellMar>
            </w:tblPr>
            <w:tblGrid>
              <w:gridCol w:w="1638"/>
              <w:gridCol w:w="1385"/>
              <w:gridCol w:w="2948"/>
              <w:gridCol w:w="2030"/>
            </w:tblGrid>
            <w:tr>
              <w:tblPrEx>
                <w:shd w:val="clear" w:color="auto" w:fill="auto"/>
                <w:tblCellMar>
                  <w:top w:w="0" w:type="dxa"/>
                  <w:left w:w="108" w:type="dxa"/>
                  <w:bottom w:w="0" w:type="dxa"/>
                  <w:right w:w="108" w:type="dxa"/>
                </w:tblCellMar>
              </w:tblPrEx>
              <w:trPr>
                <w:trHeight w:val="270" w:hRule="atLeast"/>
              </w:trPr>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采样时间</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装置</w:t>
                  </w:r>
                </w:p>
              </w:tc>
              <w:tc>
                <w:tcPr>
                  <w:tcW w:w="44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样品名称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硫化氢,mg/m3</w:t>
                  </w:r>
                </w:p>
              </w:tc>
            </w:tr>
            <w:tr>
              <w:tblPrEx>
                <w:shd w:val="clear" w:color="auto" w:fill="auto"/>
                <w:tblCellMar>
                  <w:top w:w="0" w:type="dxa"/>
                  <w:left w:w="108" w:type="dxa"/>
                  <w:bottom w:w="0" w:type="dxa"/>
                  <w:right w:w="108" w:type="dxa"/>
                </w:tblCellMar>
              </w:tblPrEx>
              <w:trPr>
                <w:trHeight w:val="270" w:hRule="atLeast"/>
              </w:trPr>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6"/>
                      <w:szCs w:val="16"/>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6"/>
                      <w:szCs w:val="16"/>
                      <w:u w:val="none"/>
                    </w:rPr>
                  </w:pPr>
                </w:p>
              </w:tc>
              <w:tc>
                <w:tcPr>
                  <w:tcW w:w="44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6"/>
                      <w:szCs w:val="16"/>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2021/5/25 14:00:00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煤油加氢精制装置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4-4点 热高压分离D102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shd w:val="clear" w:color="auto" w:fill="auto"/>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2021/5/25 14:00:00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柴油加氢精制装置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4-1点 循环氢压缩机K101B巡检位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2021/5/25 14:00:00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柴油加氢精制装置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4-2点 原料泵P101巡检位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2021/5/25 14:00:00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柴油加氢精制装置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4-3点 脱硫化氢汽提塔C201巡检位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2021/5/25 14:00:00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柴油加氢精制装置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4-5点 反应进料加热炉F101巡检位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shd w:val="clear" w:color="auto" w:fill="auto"/>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2021/5/25 14:00:00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柴油加氢精制装置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4-6点 加氢精制反应分离器R101巡检位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2021/5/25 14:00:00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柴油加氢精制装置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4-7点 反应产物循环泵P104巡检位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shd w:val="clear" w:color="auto" w:fill="auto"/>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2021/5/25 14:00:00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柴油加氢精制装置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4-8点 油混氢原料换热器E102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2021/5/25 14:00:00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柴油加氢精制装置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4-9点 分馏塔顶回流罐巡检位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2021/5/25 14:00:00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柴油加氢精制装置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4-10点 低分气脱硫塔C301巡检位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shd w:val="clear" w:color="auto" w:fill="auto"/>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2021/5/28 10:00:00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加氢裂化装置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5-1点 反应进料泵P102巡检位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shd w:val="clear" w:color="auto" w:fill="auto"/>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2021/5/28 10:00:00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加氢裂化装置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5-2点 分离塔底泵P217巡检位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shd w:val="clear" w:color="auto" w:fill="auto"/>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2021/5/28 10:00:00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加氢裂化装置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5-3点 分馏空冷区域</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shd w:val="clear" w:color="auto" w:fill="auto"/>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2021/5/28 10:00:00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加氢裂化装置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5-4点 分馏二区西侧石脑油分馏塔C207</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2021/5/28 10:00:00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加氢裂化装置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5-5点 新氢机K102A/B/C</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2021/5/28 10:00:00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加氢裂化装置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5-6点 循环机K101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shd w:val="clear" w:color="auto" w:fill="auto"/>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2021/5/28 10:00:00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加氢裂化装置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5-7点 脱硫胺液区域高压贫液泵P104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shd w:val="clear" w:color="auto" w:fill="auto"/>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2021/5/28 10:00:00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加氢裂化装置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5-8点 分馏一区汽提塔C201分馏塔C204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2021/5/28 10:00:00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加氢裂化装置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5-9点 机泵一区东侧分馏塔底泵P210</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2021/5/28 10:00:00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加氢裂化装置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5-10点 加热炉F101</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2021/5/28 10:00:00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加氢裂化装置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5-11点 反应器R101/R102</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r>
              <w:tblPrEx>
                <w:shd w:val="clear" w:color="auto" w:fill="auto"/>
                <w:tblCellMar>
                  <w:top w:w="0" w:type="dxa"/>
                  <w:left w:w="108" w:type="dxa"/>
                  <w:bottom w:w="0" w:type="dxa"/>
                  <w:right w:w="108" w:type="dxa"/>
                </w:tblCellMar>
              </w:tblPrEx>
              <w:trPr>
                <w:trHeight w:val="270" w:hRule="atLeast"/>
              </w:trPr>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2021/5/28 10:00:00</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加氢裂化装置</w:t>
                  </w:r>
                </w:p>
              </w:tc>
              <w:tc>
                <w:tcPr>
                  <w:tcW w:w="441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5-12点 反应高换区E101-E104</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Not Detected 未检出</w:t>
                  </w:r>
                </w:p>
              </w:tc>
            </w:tr>
          </w:tbl>
          <w:p>
            <w:pPr>
              <w:pStyle w:val="14"/>
              <w:numPr>
                <w:ilvl w:val="0"/>
                <w:numId w:val="0"/>
              </w:numPr>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2"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3、劳动防护</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部门</w:t>
            </w:r>
            <w:r>
              <w:rPr>
                <w:rFonts w:hint="eastAsia" w:asciiTheme="minorEastAsia" w:hAnsiTheme="minorEastAsia" w:eastAsiaTheme="minorEastAsia" w:cstheme="minorEastAsia"/>
                <w:color w:val="auto"/>
                <w:sz w:val="21"/>
                <w:szCs w:val="21"/>
                <w:highlight w:val="none"/>
                <w:lang w:val="en-US" w:eastAsia="zh-CN"/>
              </w:rPr>
              <w:t>每季度按需求发放劳动防护用品，每月对安全物资库房中的应急物资和普通劳保，做好清点工作，有特殊需求及时沟通，做到安全工作有物资保障。本月为柴油D204卸剂清罐领用</w:t>
            </w:r>
            <w:r>
              <w:rPr>
                <w:rFonts w:hint="eastAsia" w:ascii="宋体" w:hAnsi="宋体" w:cs="宋体"/>
                <w:b w:val="0"/>
                <w:bCs/>
                <w:color w:val="000000" w:themeColor="text1"/>
                <w:kern w:val="2"/>
                <w:sz w:val="21"/>
                <w:szCs w:val="21"/>
                <w:highlight w:val="none"/>
                <w:lang w:val="en-US" w:eastAsia="zh-CN" w:bidi="ar-SA"/>
              </w:rPr>
              <w:t>检修服12套，防护面罩10个，半皮手套20对。班组职工反映新劳保鞋雨天发滑的问题，已向HSE部门反馈，答复说下批次更换。</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本月离职2人已经回收劳保物品存放库房。</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p>
          <w:tbl>
            <w:tblPr>
              <w:tblStyle w:val="5"/>
              <w:tblW w:w="7480" w:type="dxa"/>
              <w:jc w:val="center"/>
              <w:shd w:val="clear" w:color="auto" w:fill="auto"/>
              <w:tblLayout w:type="fixed"/>
              <w:tblCellMar>
                <w:top w:w="0" w:type="dxa"/>
                <w:left w:w="0" w:type="dxa"/>
                <w:bottom w:w="0" w:type="dxa"/>
                <w:right w:w="0" w:type="dxa"/>
              </w:tblCellMar>
            </w:tblPr>
            <w:tblGrid>
              <w:gridCol w:w="2428"/>
              <w:gridCol w:w="1009"/>
              <w:gridCol w:w="1009"/>
              <w:gridCol w:w="1010"/>
              <w:gridCol w:w="1009"/>
              <w:gridCol w:w="1015"/>
            </w:tblGrid>
            <w:tr>
              <w:tblPrEx>
                <w:tblCellMar>
                  <w:top w:w="0" w:type="dxa"/>
                  <w:left w:w="0" w:type="dxa"/>
                  <w:bottom w:w="0" w:type="dxa"/>
                  <w:right w:w="0" w:type="dxa"/>
                </w:tblCellMar>
              </w:tblPrEx>
              <w:trPr>
                <w:trHeight w:val="400" w:hRule="atLeast"/>
                <w:jc w:val="center"/>
              </w:trPr>
              <w:tc>
                <w:tcPr>
                  <w:tcW w:w="7480" w:type="dxa"/>
                  <w:gridSpan w:val="6"/>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炼油二部主要劳动防护用品发放汇总表（202</w:t>
                  </w:r>
                  <w:r>
                    <w:rPr>
                      <w:rFonts w:hint="eastAsia" w:ascii="宋体" w:hAnsi="宋体" w:cs="宋体"/>
                      <w:b/>
                      <w:i w:val="0"/>
                      <w:color w:val="auto"/>
                      <w:kern w:val="0"/>
                      <w:sz w:val="13"/>
                      <w:szCs w:val="13"/>
                      <w:highlight w:val="none"/>
                      <w:u w:val="none"/>
                      <w:lang w:val="en-US" w:eastAsia="zh-CN" w:bidi="ar"/>
                    </w:rPr>
                    <w:t>1</w:t>
                  </w:r>
                  <w:r>
                    <w:rPr>
                      <w:rFonts w:hint="eastAsia" w:ascii="宋体" w:hAnsi="宋体" w:eastAsia="宋体" w:cs="宋体"/>
                      <w:b/>
                      <w:i w:val="0"/>
                      <w:color w:val="auto"/>
                      <w:kern w:val="0"/>
                      <w:sz w:val="13"/>
                      <w:szCs w:val="13"/>
                      <w:highlight w:val="none"/>
                      <w:u w:val="none"/>
                      <w:lang w:val="en-US" w:eastAsia="zh-CN" w:bidi="ar"/>
                    </w:rPr>
                    <w:t>.</w:t>
                  </w:r>
                  <w:r>
                    <w:rPr>
                      <w:rFonts w:hint="eastAsia" w:ascii="宋体" w:hAnsi="宋体" w:cs="宋体"/>
                      <w:b/>
                      <w:i w:val="0"/>
                      <w:color w:val="auto"/>
                      <w:kern w:val="0"/>
                      <w:sz w:val="13"/>
                      <w:szCs w:val="13"/>
                      <w:highlight w:val="none"/>
                      <w:u w:val="none"/>
                      <w:lang w:val="en-US" w:eastAsia="zh-CN" w:bidi="ar"/>
                    </w:rPr>
                    <w:t>5</w:t>
                  </w:r>
                  <w:r>
                    <w:rPr>
                      <w:rFonts w:hint="eastAsia" w:ascii="宋体" w:hAnsi="宋体" w:eastAsia="宋体" w:cs="宋体"/>
                      <w:b/>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338" w:hRule="atLeast"/>
                <w:jc w:val="center"/>
              </w:trPr>
              <w:tc>
                <w:tcPr>
                  <w:tcW w:w="242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类别</w:t>
                  </w:r>
                </w:p>
              </w:tc>
              <w:tc>
                <w:tcPr>
                  <w:tcW w:w="100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color w:val="auto"/>
                      <w:sz w:val="13"/>
                      <w:szCs w:val="13"/>
                      <w:highlight w:val="none"/>
                      <w:u w:val="none"/>
                      <w:lang w:val="en-US" w:eastAsia="zh-CN"/>
                    </w:rPr>
                  </w:pPr>
                  <w:r>
                    <w:rPr>
                      <w:rFonts w:hint="eastAsia" w:ascii="宋体" w:hAnsi="宋体" w:cs="宋体"/>
                      <w:b/>
                      <w:bCs/>
                      <w:i w:val="0"/>
                      <w:color w:val="auto"/>
                      <w:sz w:val="13"/>
                      <w:szCs w:val="13"/>
                      <w:highlight w:val="none"/>
                      <w:u w:val="none"/>
                      <w:lang w:val="en-US" w:eastAsia="zh-CN"/>
                    </w:rPr>
                    <w:t>发放对象</w:t>
                  </w:r>
                </w:p>
              </w:tc>
              <w:tc>
                <w:tcPr>
                  <w:tcW w:w="201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应发</w:t>
                  </w:r>
                </w:p>
              </w:tc>
              <w:tc>
                <w:tcPr>
                  <w:tcW w:w="2024"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实发</w:t>
                  </w:r>
                </w:p>
              </w:tc>
            </w:tr>
            <w:tr>
              <w:tblPrEx>
                <w:tblCellMar>
                  <w:top w:w="0" w:type="dxa"/>
                  <w:left w:w="0" w:type="dxa"/>
                  <w:bottom w:w="0" w:type="dxa"/>
                  <w:right w:w="0" w:type="dxa"/>
                </w:tblCellMar>
              </w:tblPrEx>
              <w:trPr>
                <w:trHeight w:val="338" w:hRule="atLeast"/>
                <w:jc w:val="center"/>
              </w:trPr>
              <w:tc>
                <w:tcPr>
                  <w:tcW w:w="242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100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10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10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c>
                <w:tcPr>
                  <w:tcW w:w="10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10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r>
            <w:tr>
              <w:tblPrEx>
                <w:tblCellMar>
                  <w:top w:w="0" w:type="dxa"/>
                  <w:left w:w="0" w:type="dxa"/>
                  <w:bottom w:w="0" w:type="dxa"/>
                  <w:right w:w="0" w:type="dxa"/>
                </w:tblCellMar>
              </w:tblPrEx>
              <w:trPr>
                <w:trHeight w:val="338"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检修连体服</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D204卸剂</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12</w:t>
                  </w:r>
                </w:p>
              </w:tc>
            </w:tr>
            <w:tr>
              <w:tblPrEx>
                <w:shd w:val="clear" w:color="auto" w:fill="auto"/>
                <w:tblCellMar>
                  <w:top w:w="0" w:type="dxa"/>
                  <w:left w:w="0" w:type="dxa"/>
                  <w:bottom w:w="0" w:type="dxa"/>
                  <w:right w:w="0" w:type="dxa"/>
                </w:tblCellMar>
              </w:tblPrEx>
              <w:trPr>
                <w:trHeight w:val="338"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雨鞋（普通）</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D204卸剂</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6</w:t>
                  </w:r>
                </w:p>
              </w:tc>
            </w:tr>
            <w:tr>
              <w:tblPrEx>
                <w:tblCellMar>
                  <w:top w:w="0" w:type="dxa"/>
                  <w:left w:w="0" w:type="dxa"/>
                  <w:bottom w:w="0" w:type="dxa"/>
                  <w:right w:w="0" w:type="dxa"/>
                </w:tblCellMar>
              </w:tblPrEx>
              <w:trPr>
                <w:trHeight w:val="338"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劳保手套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D204卸剂</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20</w:t>
                  </w:r>
                </w:p>
              </w:tc>
            </w:tr>
            <w:tr>
              <w:tblPrEx>
                <w:shd w:val="clear" w:color="auto" w:fill="auto"/>
                <w:tblCellMar>
                  <w:top w:w="0" w:type="dxa"/>
                  <w:left w:w="0" w:type="dxa"/>
                  <w:bottom w:w="0" w:type="dxa"/>
                  <w:right w:w="0" w:type="dxa"/>
                </w:tblCellMar>
              </w:tblPrEx>
              <w:trPr>
                <w:trHeight w:val="338"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防疫口罩</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D204卸剂</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10</w:t>
                  </w:r>
                </w:p>
              </w:tc>
            </w:tr>
            <w:tr>
              <w:tblPrEx>
                <w:tblCellMar>
                  <w:top w:w="0" w:type="dxa"/>
                  <w:left w:w="0" w:type="dxa"/>
                  <w:bottom w:w="0" w:type="dxa"/>
                  <w:right w:w="0" w:type="dxa"/>
                </w:tblCellMar>
              </w:tblPrEx>
              <w:trPr>
                <w:trHeight w:val="338"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过滤式防毒面具/滤毒盒</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D204卸剂</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10</w:t>
                  </w:r>
                </w:p>
              </w:tc>
            </w:tr>
            <w:tr>
              <w:tblPrEx>
                <w:shd w:val="clear" w:color="auto" w:fill="auto"/>
                <w:tblCellMar>
                  <w:top w:w="0" w:type="dxa"/>
                  <w:left w:w="0" w:type="dxa"/>
                  <w:bottom w:w="0" w:type="dxa"/>
                  <w:right w:w="0" w:type="dxa"/>
                </w:tblCellMar>
              </w:tblPrEx>
              <w:trPr>
                <w:trHeight w:val="338"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过滤式防毒面具/滤毒盒</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加裂外操室</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12</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12</w:t>
                  </w:r>
                </w:p>
              </w:tc>
            </w:tr>
            <w:tr>
              <w:tblPrEx>
                <w:tblCellMar>
                  <w:top w:w="0" w:type="dxa"/>
                  <w:left w:w="0" w:type="dxa"/>
                  <w:bottom w:w="0" w:type="dxa"/>
                  <w:right w:w="0" w:type="dxa"/>
                </w:tblCellMar>
              </w:tblPrEx>
              <w:trPr>
                <w:trHeight w:val="360"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过滤式防毒面具/滤毒盒</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加氢外操室</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12</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12</w:t>
                  </w:r>
                </w:p>
              </w:tc>
            </w:tr>
            <w:tr>
              <w:tblPrEx>
                <w:tblCellMar>
                  <w:top w:w="0" w:type="dxa"/>
                  <w:left w:w="0" w:type="dxa"/>
                  <w:bottom w:w="0" w:type="dxa"/>
                  <w:right w:w="0" w:type="dxa"/>
                </w:tblCellMar>
              </w:tblPrEx>
              <w:trPr>
                <w:trHeight w:val="360" w:hRule="atLeast"/>
                <w:jc w:val="center"/>
              </w:trPr>
              <w:tc>
                <w:tcPr>
                  <w:tcW w:w="24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劳保工作服</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个人</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4、防疫工作和职业健康</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文莱2021年对新冠肺炎总体控制非常到位。公司目前组织中方员工全员疫苗接种，文莱籍员工也在统计梳理接种疫苗情况。按照公司和部门的要求提醒回国员工签订保证书，外出注意防范，有异常及时汇报联系。</w:t>
            </w:r>
          </w:p>
          <w:p>
            <w:pPr>
              <w:pStyle w:val="14"/>
              <w:numPr>
                <w:ilvl w:val="0"/>
                <w:numId w:val="0"/>
              </w:numPr>
              <w:ind w:firstLine="42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公司开始安排休假后，按规定提交回国人员职业健康体检计划表，每批次回国人员进行健康体检，本月已经提交体检人员名单。按HSE部检查表要求制作《炼油二部体检汇总表》，明确已经体检的人数。由于公司安排回国前体检，发现体检参数异常的公司未进一步通报，请体检人员自行查阅体检报告。</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jc w:val="both"/>
              <w:rPr>
                <w:rFonts w:hint="eastAsia" w:ascii="宋体" w:hAnsi="宋体" w:cs="宋体"/>
                <w:b/>
                <w:bCs w:val="0"/>
                <w:i w:val="0"/>
                <w:iCs w:val="0"/>
                <w:color w:val="000000" w:themeColor="text1"/>
                <w:kern w:val="2"/>
                <w:sz w:val="21"/>
                <w:szCs w:val="21"/>
                <w:highlight w:val="none"/>
                <w:lang w:val="en-US" w:eastAsia="zh-CN" w:bidi="ar-SA"/>
              </w:rPr>
            </w:pPr>
            <w:r>
              <w:rPr>
                <w:rFonts w:hint="eastAsia" w:ascii="宋体" w:hAnsi="宋体" w:cs="宋体"/>
                <w:b/>
                <w:bCs w:val="0"/>
                <w:i w:val="0"/>
                <w:iCs w:val="0"/>
                <w:color w:val="000000" w:themeColor="text1"/>
                <w:kern w:val="2"/>
                <w:sz w:val="21"/>
                <w:szCs w:val="21"/>
                <w:highlight w:val="none"/>
                <w:lang w:val="en-US" w:eastAsia="zh-CN" w:bidi="ar-SA"/>
              </w:rPr>
              <w:t>五、消、气防安全管理方面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部门根据公司要求，今年更新了各装置消防档案，对装置内各类消防设备设施进行统计，明确</w:t>
            </w:r>
            <w:r>
              <w:rPr>
                <w:rFonts w:hint="default" w:ascii="宋体" w:hAnsi="宋体" w:cs="宋体"/>
                <w:b w:val="0"/>
                <w:bCs/>
                <w:color w:val="000000" w:themeColor="text1"/>
                <w:kern w:val="2"/>
                <w:sz w:val="21"/>
                <w:szCs w:val="21"/>
                <w:highlight w:val="none"/>
                <w:lang w:val="en-US" w:eastAsia="zh-CN" w:bidi="ar-SA"/>
              </w:rPr>
              <w:t>摆放位置，根据班组区域明确责任人，每月两次定期进行检查确认完好性</w:t>
            </w:r>
            <w:r>
              <w:rPr>
                <w:rFonts w:hint="eastAsia" w:ascii="宋体" w:hAnsi="宋体" w:cs="宋体"/>
                <w:b w:val="0"/>
                <w:bCs/>
                <w:color w:val="000000" w:themeColor="text1"/>
                <w:kern w:val="2"/>
                <w:sz w:val="21"/>
                <w:szCs w:val="21"/>
                <w:highlight w:val="none"/>
                <w:lang w:val="en-US" w:eastAsia="zh-CN" w:bidi="ar-SA"/>
              </w:rPr>
              <w:t>。安全主管人员定期进行消防检查工作，组织开展各类消防装备的培训工作，要求操作人员达到熟练操作现场各类的消防实操技能水平；组织现场应会考试及消防应急演练，考察班组人员掌握情况。将理论结合实际，提高人员实战能力，通过抽查考核结果来看，各岗位员工消防技能得到强化，处置初期事故能力得到显著提升，各装置应急水平有了较大提高。</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tbl>
            <w:tblPr>
              <w:tblStyle w:val="5"/>
              <w:tblW w:w="8099" w:type="dxa"/>
              <w:tblInd w:w="0" w:type="dxa"/>
              <w:shd w:val="clear" w:color="auto" w:fill="auto"/>
              <w:tblLayout w:type="fixed"/>
              <w:tblCellMar>
                <w:top w:w="0" w:type="dxa"/>
                <w:left w:w="0" w:type="dxa"/>
                <w:bottom w:w="0" w:type="dxa"/>
                <w:right w:w="0" w:type="dxa"/>
              </w:tblCellMar>
            </w:tblPr>
            <w:tblGrid>
              <w:gridCol w:w="622"/>
              <w:gridCol w:w="1408"/>
              <w:gridCol w:w="899"/>
              <w:gridCol w:w="899"/>
              <w:gridCol w:w="1116"/>
              <w:gridCol w:w="721"/>
              <w:gridCol w:w="978"/>
              <w:gridCol w:w="1456"/>
            </w:tblGrid>
            <w:tr>
              <w:trPr>
                <w:trHeight w:val="283" w:hRule="atLeast"/>
              </w:trPr>
              <w:tc>
                <w:tcPr>
                  <w:tcW w:w="8099" w:type="dxa"/>
                  <w:gridSpan w:val="8"/>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炼油二部消防器材台账</w:t>
                  </w:r>
                </w:p>
              </w:tc>
            </w:tr>
            <w:tr>
              <w:tblPrEx>
                <w:tblCellMar>
                  <w:top w:w="0" w:type="dxa"/>
                  <w:left w:w="0" w:type="dxa"/>
                  <w:bottom w:w="0" w:type="dxa"/>
                  <w:right w:w="0" w:type="dxa"/>
                </w:tblCellMar>
              </w:tblPrEx>
              <w:trPr>
                <w:trHeight w:val="283"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lang w:val="en-US" w:eastAsia="zh-CN"/>
                    </w:rPr>
                  </w:pPr>
                  <w:r>
                    <w:rPr>
                      <w:rFonts w:hint="eastAsia" w:ascii="宋体" w:hAnsi="宋体" w:eastAsia="宋体" w:cs="宋体"/>
                      <w:i w:val="0"/>
                      <w:color w:val="000000"/>
                      <w:sz w:val="13"/>
                      <w:szCs w:val="13"/>
                      <w:highlight w:val="none"/>
                      <w:u w:val="none"/>
                      <w:lang w:val="en-US" w:eastAsia="zh-CN"/>
                    </w:rPr>
                    <w:t>类别</w:t>
                  </w:r>
                </w:p>
              </w:tc>
              <w:tc>
                <w:tcPr>
                  <w:tcW w:w="1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安技装备名称</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加裂装置</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气分装置</w:t>
                  </w:r>
                </w:p>
              </w:tc>
              <w:tc>
                <w:tcPr>
                  <w:tcW w:w="1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煤柴油装置</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合计</w:t>
                  </w:r>
                </w:p>
              </w:tc>
              <w:tc>
                <w:tcPr>
                  <w:tcW w:w="9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备注</w:t>
                  </w:r>
                </w:p>
              </w:tc>
              <w:tc>
                <w:tcPr>
                  <w:tcW w:w="1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完好率（%）</w:t>
                  </w:r>
                </w:p>
              </w:tc>
            </w:tr>
            <w:tr>
              <w:tblPrEx>
                <w:tblCellMar>
                  <w:top w:w="0" w:type="dxa"/>
                  <w:left w:w="0" w:type="dxa"/>
                  <w:bottom w:w="0" w:type="dxa"/>
                  <w:right w:w="0" w:type="dxa"/>
                </w:tblCellMar>
              </w:tblPrEx>
              <w:trPr>
                <w:trHeight w:val="283" w:hRule="atLeast"/>
              </w:trPr>
              <w:tc>
                <w:tcPr>
                  <w:tcW w:w="622"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消防类</w:t>
                  </w:r>
                </w:p>
              </w:tc>
              <w:tc>
                <w:tcPr>
                  <w:tcW w:w="14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干粉灭火器</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910</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152</w:t>
                  </w:r>
                </w:p>
              </w:tc>
              <w:tc>
                <w:tcPr>
                  <w:tcW w:w="11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288</w:t>
                  </w:r>
                </w:p>
              </w:tc>
              <w:tc>
                <w:tcPr>
                  <w:tcW w:w="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1350</w:t>
                  </w:r>
                </w:p>
              </w:tc>
              <w:tc>
                <w:tcPr>
                  <w:tcW w:w="97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推车灭火器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消防炮</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shd w:val="clear" w:color="auto" w:fill="auto"/>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消防软管卷盘</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消防竖管箱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雨淋阀组</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手动火灾报警器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bl>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5月主要消防工作：</w:t>
            </w:r>
          </w:p>
          <w:p>
            <w:pPr>
              <w:pStyle w:val="4"/>
              <w:numPr>
                <w:ilvl w:val="0"/>
                <w:numId w:val="0"/>
              </w:numPr>
              <w:spacing w:line="240" w:lineRule="auto"/>
              <w:ind w:firstLine="420" w:firstLineChars="200"/>
              <w:jc w:val="left"/>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本月更换装置内部分灭火器上已经发黑无法辨认的标识码，</w:t>
            </w:r>
            <w:r>
              <w:rPr>
                <w:rFonts w:hint="eastAsia" w:ascii="宋体" w:hAnsi="宋体" w:cs="宋体"/>
                <w:b w:val="0"/>
                <w:bCs/>
                <w:color w:val="000000" w:themeColor="text1"/>
                <w:kern w:val="2"/>
                <w:sz w:val="21"/>
                <w:szCs w:val="21"/>
                <w:highlight w:val="none"/>
                <w:lang w:val="en-US" w:eastAsia="zh-CN" w:bidi="ar-SA"/>
              </w:rPr>
              <w:t>组织现场消防栓和消防炮抹油保养</w:t>
            </w:r>
          </w:p>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加裂加氢装置消防检查各类问题：主要是签名检查不到位问题，都落实考核并责令整改。</w:t>
            </w:r>
          </w:p>
          <w:p>
            <w:pPr>
              <w:pStyle w:val="4"/>
              <w:numPr>
                <w:ilvl w:val="0"/>
                <w:numId w:val="0"/>
              </w:numPr>
              <w:spacing w:line="240" w:lineRule="auto"/>
              <w:ind w:firstLine="420" w:firstLineChars="200"/>
              <w:jc w:val="left"/>
              <w:rPr>
                <w:rFonts w:hint="default" w:ascii="宋体" w:hAnsi="宋体" w:cs="宋体"/>
                <w:b w:val="0"/>
                <w:bCs/>
                <w:color w:val="000000" w:themeColor="text1"/>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15" w:type="dxa"/>
            <w:gridSpan w:val="5"/>
            <w:shd w:val="clear" w:color="auto" w:fill="auto"/>
            <w:vAlign w:val="center"/>
          </w:tcPr>
          <w:p>
            <w:pPr>
              <w:pStyle w:val="4"/>
              <w:spacing w:line="320" w:lineRule="exact"/>
              <w:jc w:val="left"/>
              <w:rPr>
                <w:rFonts w:hint="eastAsia" w:ascii="宋体" w:hAnsi="宋体" w:eastAsia="宋体" w:cs="宋体"/>
                <w:sz w:val="21"/>
                <w:szCs w:val="21"/>
                <w:highlight w:val="none"/>
                <w:lang w:val="en-US" w:eastAsia="zh-CN"/>
              </w:rPr>
            </w:pPr>
            <w:r>
              <w:rPr>
                <w:rFonts w:hint="eastAsia" w:ascii="宋体" w:hAnsi="宋体" w:eastAsia="宋体" w:cs="宋体"/>
                <w:b/>
                <w:color w:val="000000" w:themeColor="text1"/>
                <w:sz w:val="21"/>
                <w:szCs w:val="21"/>
                <w:highlight w:val="none"/>
              </w:rPr>
              <w:t xml:space="preserve">意见及建议 </w:t>
            </w:r>
            <w:r>
              <w:rPr>
                <w:rFonts w:hint="eastAsia" w:ascii="宋体" w:hAnsi="宋体" w:eastAsia="宋体" w:cs="宋体"/>
                <w:b/>
                <w:color w:val="000000" w:themeColor="text1"/>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315" w:type="dxa"/>
            <w:gridSpan w:val="5"/>
            <w:shd w:val="clear" w:color="auto" w:fill="auto"/>
            <w:vAlign w:val="center"/>
          </w:tcPr>
          <w:p>
            <w:pPr>
              <w:pStyle w:val="4"/>
              <w:spacing w:line="320" w:lineRule="exact"/>
              <w:jc w:val="left"/>
              <w:rPr>
                <w:rFonts w:ascii="宋体" w:hAnsi="宋体" w:eastAsia="宋体" w:cs="宋体"/>
                <w:color w:val="000000" w:themeColor="text1"/>
                <w:sz w:val="21"/>
                <w:szCs w:val="21"/>
                <w:highlight w:val="none"/>
              </w:rPr>
            </w:pPr>
            <w:r>
              <w:rPr>
                <w:rFonts w:hint="eastAsia" w:ascii="宋体" w:hAnsi="宋体" w:eastAsia="宋体" w:cs="宋体"/>
                <w:b/>
                <w:color w:val="000000" w:themeColor="text1"/>
                <w:sz w:val="21"/>
                <w:szCs w:val="21"/>
                <w:highlight w:val="none"/>
              </w:rPr>
              <w:t>下一步HSE工作计划：</w:t>
            </w:r>
          </w:p>
          <w:p>
            <w:pPr>
              <w:pStyle w:val="4"/>
              <w:numPr>
                <w:ilvl w:val="0"/>
                <w:numId w:val="5"/>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整改并反馈HSE部对炼油二部的月检问题。</w:t>
            </w:r>
          </w:p>
          <w:p>
            <w:pPr>
              <w:pStyle w:val="4"/>
              <w:numPr>
                <w:ilvl w:val="0"/>
                <w:numId w:val="5"/>
              </w:numPr>
              <w:spacing w:line="320" w:lineRule="exact"/>
              <w:ind w:left="0" w:lef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下月现场有D204装剂人员进入受限空间任务，另外按HSE部高风险监护要求，合理控制高风险作业数量，安排监护人员，督促班组提高监护质量。</w:t>
            </w:r>
          </w:p>
          <w:p>
            <w:pPr>
              <w:pStyle w:val="4"/>
              <w:numPr>
                <w:ilvl w:val="0"/>
                <w:numId w:val="5"/>
              </w:numPr>
              <w:spacing w:line="320" w:lineRule="exact"/>
              <w:ind w:left="0" w:leftChars="0"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全面开展已经取得上岗证和监护证的文莱籍人员监护高风险作业任务，对已经取得上岗证的文莱籍人员报HSE部尽快培训拿取监护证。</w:t>
            </w:r>
          </w:p>
          <w:p>
            <w:pPr>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按《炼油二部202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年应急演练计划》组织</w:t>
            </w:r>
            <w:r>
              <w:rPr>
                <w:rFonts w:hint="eastAsia" w:ascii="宋体" w:hAnsi="宋体" w:cs="宋体"/>
                <w:color w:val="auto"/>
                <w:sz w:val="21"/>
                <w:szCs w:val="21"/>
                <w:highlight w:val="none"/>
                <w:lang w:val="en-US" w:eastAsia="zh-CN"/>
              </w:rPr>
              <w:t>综合</w:t>
            </w:r>
            <w:r>
              <w:rPr>
                <w:rFonts w:hint="eastAsia" w:ascii="宋体" w:hAnsi="宋体" w:eastAsia="宋体" w:cs="宋体"/>
                <w:color w:val="auto"/>
                <w:sz w:val="21"/>
                <w:szCs w:val="21"/>
                <w:highlight w:val="none"/>
                <w:lang w:eastAsia="zh-CN"/>
              </w:rPr>
              <w:t>应急演练</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气分装置单独组织文莱员工开展液化气大量泄漏的安全应急演练。</w:t>
            </w:r>
          </w:p>
          <w:p>
            <w:pPr>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制定</w:t>
            </w:r>
            <w:r>
              <w:rPr>
                <w:rFonts w:hint="eastAsia" w:ascii="宋体" w:hAnsi="宋体" w:eastAsia="宋体" w:cs="宋体"/>
                <w:color w:val="auto"/>
                <w:sz w:val="21"/>
                <w:szCs w:val="21"/>
                <w:highlight w:val="none"/>
                <w:lang w:val="en-US" w:eastAsia="zh-CN"/>
              </w:rPr>
              <w:t>2021年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月的安全学习计划，学习公司培训内容。</w:t>
            </w:r>
            <w:r>
              <w:rPr>
                <w:rFonts w:hint="eastAsia" w:ascii="宋体" w:hAnsi="宋体" w:eastAsia="宋体" w:cs="宋体"/>
                <w:color w:val="auto"/>
                <w:sz w:val="21"/>
                <w:szCs w:val="21"/>
                <w:highlight w:val="none"/>
                <w:lang w:val="en-US" w:eastAsia="zh-CN"/>
              </w:rPr>
              <w:t>由班组自行组织学习，副班期间验证学习效果。</w:t>
            </w:r>
          </w:p>
          <w:p>
            <w:pPr>
              <w:pStyle w:val="4"/>
              <w:numPr>
                <w:ilvl w:val="0"/>
                <w:numId w:val="0"/>
              </w:numPr>
              <w:spacing w:line="320" w:lineRule="exact"/>
              <w:ind w:leftChars="200"/>
              <w:jc w:val="left"/>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按2021年度制定的HSE工作计划和目标开展全年安全工作。</w:t>
            </w:r>
          </w:p>
        </w:tc>
      </w:tr>
    </w:tbl>
    <w:p>
      <w:pPr>
        <w:jc w:val="left"/>
        <w:rPr>
          <w:color w:val="000000" w:themeColor="text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6016C"/>
    <w:multiLevelType w:val="singleLevel"/>
    <w:tmpl w:val="1476016C"/>
    <w:lvl w:ilvl="0" w:tentative="0">
      <w:start w:val="1"/>
      <w:numFmt w:val="decimal"/>
      <w:suff w:val="nothing"/>
      <w:lvlText w:val="%1、"/>
      <w:lvlJc w:val="left"/>
    </w:lvl>
  </w:abstractNum>
  <w:abstractNum w:abstractNumId="1">
    <w:nsid w:val="16CFB642"/>
    <w:multiLevelType w:val="singleLevel"/>
    <w:tmpl w:val="16CFB642"/>
    <w:lvl w:ilvl="0" w:tentative="0">
      <w:start w:val="2"/>
      <w:numFmt w:val="decimal"/>
      <w:suff w:val="nothing"/>
      <w:lvlText w:val="%1、"/>
      <w:lvlJc w:val="left"/>
    </w:lvl>
  </w:abstractNum>
  <w:abstractNum w:abstractNumId="2">
    <w:nsid w:val="3C7CA898"/>
    <w:multiLevelType w:val="singleLevel"/>
    <w:tmpl w:val="3C7CA898"/>
    <w:lvl w:ilvl="0" w:tentative="0">
      <w:start w:val="1"/>
      <w:numFmt w:val="decimal"/>
      <w:suff w:val="nothing"/>
      <w:lvlText w:val="%1、"/>
      <w:lvlJc w:val="left"/>
    </w:lvl>
  </w:abstractNum>
  <w:abstractNum w:abstractNumId="3">
    <w:nsid w:val="61C05DB4"/>
    <w:multiLevelType w:val="singleLevel"/>
    <w:tmpl w:val="61C05DB4"/>
    <w:lvl w:ilvl="0" w:tentative="0">
      <w:start w:val="2"/>
      <w:numFmt w:val="decimal"/>
      <w:suff w:val="nothing"/>
      <w:lvlText w:val="%1、"/>
      <w:lvlJc w:val="left"/>
    </w:lvl>
  </w:abstractNum>
  <w:abstractNum w:abstractNumId="4">
    <w:nsid w:val="7B0B614F"/>
    <w:multiLevelType w:val="singleLevel"/>
    <w:tmpl w:val="7B0B614F"/>
    <w:lvl w:ilvl="0" w:tentative="0">
      <w:start w:val="3"/>
      <w:numFmt w:val="chineseCounting"/>
      <w:suff w:val="nothing"/>
      <w:lvlText w:val="%1、"/>
      <w:lvlJc w:val="left"/>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02B"/>
    <w:rsid w:val="00021EF7"/>
    <w:rsid w:val="00045335"/>
    <w:rsid w:val="00046575"/>
    <w:rsid w:val="00050A77"/>
    <w:rsid w:val="00071668"/>
    <w:rsid w:val="000A112F"/>
    <w:rsid w:val="000A50C7"/>
    <w:rsid w:val="000B26DA"/>
    <w:rsid w:val="000E6E87"/>
    <w:rsid w:val="00101D4B"/>
    <w:rsid w:val="00115E70"/>
    <w:rsid w:val="0011764D"/>
    <w:rsid w:val="00126FB2"/>
    <w:rsid w:val="00151055"/>
    <w:rsid w:val="00166928"/>
    <w:rsid w:val="00172A27"/>
    <w:rsid w:val="0017411E"/>
    <w:rsid w:val="00174848"/>
    <w:rsid w:val="00196727"/>
    <w:rsid w:val="001D1C8A"/>
    <w:rsid w:val="00204113"/>
    <w:rsid w:val="002437CE"/>
    <w:rsid w:val="00254CE2"/>
    <w:rsid w:val="0026158D"/>
    <w:rsid w:val="002901EA"/>
    <w:rsid w:val="00295CF4"/>
    <w:rsid w:val="002D66D5"/>
    <w:rsid w:val="00317B0A"/>
    <w:rsid w:val="003517ED"/>
    <w:rsid w:val="00360AFE"/>
    <w:rsid w:val="00382228"/>
    <w:rsid w:val="00393C1C"/>
    <w:rsid w:val="003979E0"/>
    <w:rsid w:val="003B6CFF"/>
    <w:rsid w:val="003C1B6B"/>
    <w:rsid w:val="003F0335"/>
    <w:rsid w:val="003F42B5"/>
    <w:rsid w:val="00425CF9"/>
    <w:rsid w:val="0043796C"/>
    <w:rsid w:val="00442449"/>
    <w:rsid w:val="00460DB8"/>
    <w:rsid w:val="004646BB"/>
    <w:rsid w:val="004723BA"/>
    <w:rsid w:val="00474A2C"/>
    <w:rsid w:val="004B40B7"/>
    <w:rsid w:val="004D33D1"/>
    <w:rsid w:val="004D3EBD"/>
    <w:rsid w:val="00543BDC"/>
    <w:rsid w:val="00574259"/>
    <w:rsid w:val="005771AC"/>
    <w:rsid w:val="00594B5A"/>
    <w:rsid w:val="005A5AA6"/>
    <w:rsid w:val="005C3DD3"/>
    <w:rsid w:val="005E1837"/>
    <w:rsid w:val="00604306"/>
    <w:rsid w:val="006072E2"/>
    <w:rsid w:val="0064160F"/>
    <w:rsid w:val="00642660"/>
    <w:rsid w:val="00651B47"/>
    <w:rsid w:val="00654D6D"/>
    <w:rsid w:val="0067429D"/>
    <w:rsid w:val="0068525E"/>
    <w:rsid w:val="006C0754"/>
    <w:rsid w:val="006D1DC6"/>
    <w:rsid w:val="006D64C3"/>
    <w:rsid w:val="00716AE7"/>
    <w:rsid w:val="00745FC1"/>
    <w:rsid w:val="007712B8"/>
    <w:rsid w:val="00772C23"/>
    <w:rsid w:val="007A1AEB"/>
    <w:rsid w:val="007D17DE"/>
    <w:rsid w:val="007E41E9"/>
    <w:rsid w:val="00803602"/>
    <w:rsid w:val="008072F8"/>
    <w:rsid w:val="00825BEE"/>
    <w:rsid w:val="008304DF"/>
    <w:rsid w:val="00830CDD"/>
    <w:rsid w:val="00834BFD"/>
    <w:rsid w:val="008427B2"/>
    <w:rsid w:val="008601BC"/>
    <w:rsid w:val="0086528F"/>
    <w:rsid w:val="00887E70"/>
    <w:rsid w:val="008A413A"/>
    <w:rsid w:val="008B3C65"/>
    <w:rsid w:val="008C5810"/>
    <w:rsid w:val="008C71D0"/>
    <w:rsid w:val="008D2E0B"/>
    <w:rsid w:val="008F22C7"/>
    <w:rsid w:val="0093448A"/>
    <w:rsid w:val="00935E2F"/>
    <w:rsid w:val="00941B23"/>
    <w:rsid w:val="0097022A"/>
    <w:rsid w:val="0097241C"/>
    <w:rsid w:val="009A3FBF"/>
    <w:rsid w:val="009E4FF5"/>
    <w:rsid w:val="00A07064"/>
    <w:rsid w:val="00A50DA3"/>
    <w:rsid w:val="00A51637"/>
    <w:rsid w:val="00A55CAE"/>
    <w:rsid w:val="00A83604"/>
    <w:rsid w:val="00AA0FD6"/>
    <w:rsid w:val="00AE08FA"/>
    <w:rsid w:val="00B12C69"/>
    <w:rsid w:val="00B23A46"/>
    <w:rsid w:val="00B57C4F"/>
    <w:rsid w:val="00B62533"/>
    <w:rsid w:val="00B6268E"/>
    <w:rsid w:val="00B657CC"/>
    <w:rsid w:val="00B91DF4"/>
    <w:rsid w:val="00B95504"/>
    <w:rsid w:val="00BC389E"/>
    <w:rsid w:val="00BE1372"/>
    <w:rsid w:val="00BE6EAD"/>
    <w:rsid w:val="00BF1C80"/>
    <w:rsid w:val="00BF7297"/>
    <w:rsid w:val="00C31A24"/>
    <w:rsid w:val="00C377C1"/>
    <w:rsid w:val="00C90CE6"/>
    <w:rsid w:val="00CB1177"/>
    <w:rsid w:val="00CC6DC0"/>
    <w:rsid w:val="00CD0110"/>
    <w:rsid w:val="00CE2CB7"/>
    <w:rsid w:val="00CF5081"/>
    <w:rsid w:val="00D236BF"/>
    <w:rsid w:val="00D3662F"/>
    <w:rsid w:val="00D455D3"/>
    <w:rsid w:val="00D61AC7"/>
    <w:rsid w:val="00D95233"/>
    <w:rsid w:val="00D96D2A"/>
    <w:rsid w:val="00DA2F46"/>
    <w:rsid w:val="00DA761E"/>
    <w:rsid w:val="00DB0520"/>
    <w:rsid w:val="00DC257E"/>
    <w:rsid w:val="00DC39E6"/>
    <w:rsid w:val="00DE08D9"/>
    <w:rsid w:val="00E31613"/>
    <w:rsid w:val="00E419B7"/>
    <w:rsid w:val="00E441AC"/>
    <w:rsid w:val="00E458AC"/>
    <w:rsid w:val="00E552F9"/>
    <w:rsid w:val="00E67219"/>
    <w:rsid w:val="00E8050A"/>
    <w:rsid w:val="00E81483"/>
    <w:rsid w:val="00E9252C"/>
    <w:rsid w:val="00E955A8"/>
    <w:rsid w:val="00EA7D15"/>
    <w:rsid w:val="00EB2023"/>
    <w:rsid w:val="00EB7103"/>
    <w:rsid w:val="00ED5081"/>
    <w:rsid w:val="00EF2A30"/>
    <w:rsid w:val="00F020B6"/>
    <w:rsid w:val="00F02780"/>
    <w:rsid w:val="00F11871"/>
    <w:rsid w:val="00F238EA"/>
    <w:rsid w:val="00F418CC"/>
    <w:rsid w:val="00F55E21"/>
    <w:rsid w:val="00F571F0"/>
    <w:rsid w:val="00F77190"/>
    <w:rsid w:val="00F94910"/>
    <w:rsid w:val="00FA03BB"/>
    <w:rsid w:val="00FA5E78"/>
    <w:rsid w:val="00FA7315"/>
    <w:rsid w:val="00FD6B04"/>
    <w:rsid w:val="00FE3B23"/>
    <w:rsid w:val="010569EB"/>
    <w:rsid w:val="01364E34"/>
    <w:rsid w:val="01390006"/>
    <w:rsid w:val="013F75FE"/>
    <w:rsid w:val="01676196"/>
    <w:rsid w:val="01930534"/>
    <w:rsid w:val="01B93227"/>
    <w:rsid w:val="01CA7DC3"/>
    <w:rsid w:val="01D31226"/>
    <w:rsid w:val="01DB6D34"/>
    <w:rsid w:val="01E76146"/>
    <w:rsid w:val="01E85CC8"/>
    <w:rsid w:val="020B1D1E"/>
    <w:rsid w:val="021B780B"/>
    <w:rsid w:val="022461D2"/>
    <w:rsid w:val="028508E4"/>
    <w:rsid w:val="02867312"/>
    <w:rsid w:val="028F5F96"/>
    <w:rsid w:val="02A70034"/>
    <w:rsid w:val="034115AC"/>
    <w:rsid w:val="03497AEB"/>
    <w:rsid w:val="034B4DF7"/>
    <w:rsid w:val="035646A7"/>
    <w:rsid w:val="036E5137"/>
    <w:rsid w:val="038744CC"/>
    <w:rsid w:val="03987CFF"/>
    <w:rsid w:val="03C30973"/>
    <w:rsid w:val="040B29CE"/>
    <w:rsid w:val="043A6A3B"/>
    <w:rsid w:val="04430A41"/>
    <w:rsid w:val="046468A4"/>
    <w:rsid w:val="047D0D18"/>
    <w:rsid w:val="047F24A4"/>
    <w:rsid w:val="04983E58"/>
    <w:rsid w:val="049B412B"/>
    <w:rsid w:val="04A74B88"/>
    <w:rsid w:val="04BD6947"/>
    <w:rsid w:val="05162452"/>
    <w:rsid w:val="051A60EF"/>
    <w:rsid w:val="05281AFD"/>
    <w:rsid w:val="055E71F6"/>
    <w:rsid w:val="05757612"/>
    <w:rsid w:val="05850E0C"/>
    <w:rsid w:val="05861BDE"/>
    <w:rsid w:val="059F57AB"/>
    <w:rsid w:val="05AA7928"/>
    <w:rsid w:val="05B6391C"/>
    <w:rsid w:val="05C73144"/>
    <w:rsid w:val="05C92961"/>
    <w:rsid w:val="05E06667"/>
    <w:rsid w:val="05ED7326"/>
    <w:rsid w:val="062E35A9"/>
    <w:rsid w:val="06543F4D"/>
    <w:rsid w:val="06AF1577"/>
    <w:rsid w:val="06BF7086"/>
    <w:rsid w:val="06F07C2F"/>
    <w:rsid w:val="07065114"/>
    <w:rsid w:val="070676CE"/>
    <w:rsid w:val="070F7272"/>
    <w:rsid w:val="071065FE"/>
    <w:rsid w:val="072C5734"/>
    <w:rsid w:val="074305F5"/>
    <w:rsid w:val="07755DBD"/>
    <w:rsid w:val="0779743B"/>
    <w:rsid w:val="07840093"/>
    <w:rsid w:val="078E5E5D"/>
    <w:rsid w:val="07903E0D"/>
    <w:rsid w:val="07AA3AEC"/>
    <w:rsid w:val="07C32AD2"/>
    <w:rsid w:val="07D253E0"/>
    <w:rsid w:val="07D8055F"/>
    <w:rsid w:val="07E973F5"/>
    <w:rsid w:val="080437A6"/>
    <w:rsid w:val="081D4BB3"/>
    <w:rsid w:val="08261732"/>
    <w:rsid w:val="08340034"/>
    <w:rsid w:val="08354CA1"/>
    <w:rsid w:val="083D2A11"/>
    <w:rsid w:val="083D72E0"/>
    <w:rsid w:val="08777EF3"/>
    <w:rsid w:val="088B316B"/>
    <w:rsid w:val="08934EF7"/>
    <w:rsid w:val="08A4254E"/>
    <w:rsid w:val="08AA105C"/>
    <w:rsid w:val="08E20CDC"/>
    <w:rsid w:val="08F11CEE"/>
    <w:rsid w:val="09084197"/>
    <w:rsid w:val="09125F57"/>
    <w:rsid w:val="092027EB"/>
    <w:rsid w:val="09511AFC"/>
    <w:rsid w:val="095303BB"/>
    <w:rsid w:val="09737C5C"/>
    <w:rsid w:val="097E24F3"/>
    <w:rsid w:val="098E7983"/>
    <w:rsid w:val="09B4329A"/>
    <w:rsid w:val="09C64707"/>
    <w:rsid w:val="09D061EA"/>
    <w:rsid w:val="09D27193"/>
    <w:rsid w:val="09E57151"/>
    <w:rsid w:val="09EC54AD"/>
    <w:rsid w:val="0A1519F2"/>
    <w:rsid w:val="0A3B287D"/>
    <w:rsid w:val="0A3D67CC"/>
    <w:rsid w:val="0A43092E"/>
    <w:rsid w:val="0A780398"/>
    <w:rsid w:val="0AC74596"/>
    <w:rsid w:val="0AEA7066"/>
    <w:rsid w:val="0AF84910"/>
    <w:rsid w:val="0AFA7496"/>
    <w:rsid w:val="0B110224"/>
    <w:rsid w:val="0B211E8F"/>
    <w:rsid w:val="0B303F21"/>
    <w:rsid w:val="0B327A80"/>
    <w:rsid w:val="0B34410E"/>
    <w:rsid w:val="0B785BA0"/>
    <w:rsid w:val="0B9F08CB"/>
    <w:rsid w:val="0BB73E3E"/>
    <w:rsid w:val="0BC733E1"/>
    <w:rsid w:val="0BC91B7F"/>
    <w:rsid w:val="0BD55B76"/>
    <w:rsid w:val="0BDB3E9B"/>
    <w:rsid w:val="0C2E4CCF"/>
    <w:rsid w:val="0C2F73F3"/>
    <w:rsid w:val="0C686373"/>
    <w:rsid w:val="0C8F4441"/>
    <w:rsid w:val="0CB11B6F"/>
    <w:rsid w:val="0CB6159C"/>
    <w:rsid w:val="0CF43C22"/>
    <w:rsid w:val="0D0F41E7"/>
    <w:rsid w:val="0D193515"/>
    <w:rsid w:val="0D2721D8"/>
    <w:rsid w:val="0D4C3291"/>
    <w:rsid w:val="0D50577F"/>
    <w:rsid w:val="0D5E0685"/>
    <w:rsid w:val="0D61119E"/>
    <w:rsid w:val="0D874147"/>
    <w:rsid w:val="0D8B2849"/>
    <w:rsid w:val="0D8D3FF9"/>
    <w:rsid w:val="0DAE5EBE"/>
    <w:rsid w:val="0DC514D5"/>
    <w:rsid w:val="0DCA1067"/>
    <w:rsid w:val="0DD64AD6"/>
    <w:rsid w:val="0DE107B2"/>
    <w:rsid w:val="0E0728DC"/>
    <w:rsid w:val="0E09789B"/>
    <w:rsid w:val="0E1B5E6F"/>
    <w:rsid w:val="0E471D73"/>
    <w:rsid w:val="0E607EFE"/>
    <w:rsid w:val="0E652C34"/>
    <w:rsid w:val="0E7D14A9"/>
    <w:rsid w:val="0E9E5D23"/>
    <w:rsid w:val="0EA70818"/>
    <w:rsid w:val="0EEA7D41"/>
    <w:rsid w:val="0F0E61B4"/>
    <w:rsid w:val="0F113171"/>
    <w:rsid w:val="0F1A58C4"/>
    <w:rsid w:val="0F207184"/>
    <w:rsid w:val="0F253F66"/>
    <w:rsid w:val="0F6D76D9"/>
    <w:rsid w:val="0F753174"/>
    <w:rsid w:val="0F863BDD"/>
    <w:rsid w:val="0FA87AB6"/>
    <w:rsid w:val="0FCB3EE3"/>
    <w:rsid w:val="0FDE02BC"/>
    <w:rsid w:val="100F1114"/>
    <w:rsid w:val="105D3432"/>
    <w:rsid w:val="10C070E0"/>
    <w:rsid w:val="10D55505"/>
    <w:rsid w:val="11023C35"/>
    <w:rsid w:val="112041CD"/>
    <w:rsid w:val="112E7785"/>
    <w:rsid w:val="113D36D1"/>
    <w:rsid w:val="115326FC"/>
    <w:rsid w:val="11567EAE"/>
    <w:rsid w:val="117F2F3A"/>
    <w:rsid w:val="11B61A05"/>
    <w:rsid w:val="11BD56C8"/>
    <w:rsid w:val="11D73AAC"/>
    <w:rsid w:val="11E50EF6"/>
    <w:rsid w:val="122E4A57"/>
    <w:rsid w:val="12647221"/>
    <w:rsid w:val="128D7000"/>
    <w:rsid w:val="12A85DFD"/>
    <w:rsid w:val="12AB3427"/>
    <w:rsid w:val="12B2127B"/>
    <w:rsid w:val="12CD167E"/>
    <w:rsid w:val="12E651AD"/>
    <w:rsid w:val="12EC49B6"/>
    <w:rsid w:val="13024F6B"/>
    <w:rsid w:val="130E1528"/>
    <w:rsid w:val="131E18DE"/>
    <w:rsid w:val="13325073"/>
    <w:rsid w:val="133455B5"/>
    <w:rsid w:val="135D1014"/>
    <w:rsid w:val="1363039E"/>
    <w:rsid w:val="13921B02"/>
    <w:rsid w:val="13A858C5"/>
    <w:rsid w:val="13DD6845"/>
    <w:rsid w:val="13E746EC"/>
    <w:rsid w:val="13EB0B5D"/>
    <w:rsid w:val="14095A4A"/>
    <w:rsid w:val="14156E41"/>
    <w:rsid w:val="14174BDF"/>
    <w:rsid w:val="14357C05"/>
    <w:rsid w:val="143C7523"/>
    <w:rsid w:val="143E0A51"/>
    <w:rsid w:val="145B4AC5"/>
    <w:rsid w:val="14656E35"/>
    <w:rsid w:val="14BE61EB"/>
    <w:rsid w:val="151870A9"/>
    <w:rsid w:val="15506141"/>
    <w:rsid w:val="155B3FC3"/>
    <w:rsid w:val="15803C40"/>
    <w:rsid w:val="158C65DD"/>
    <w:rsid w:val="158D5EE0"/>
    <w:rsid w:val="15926F97"/>
    <w:rsid w:val="15A05CD5"/>
    <w:rsid w:val="15C17823"/>
    <w:rsid w:val="15E81D50"/>
    <w:rsid w:val="15F66B94"/>
    <w:rsid w:val="160F1FF0"/>
    <w:rsid w:val="16422CF3"/>
    <w:rsid w:val="164B11BA"/>
    <w:rsid w:val="16632DA0"/>
    <w:rsid w:val="166E3D9E"/>
    <w:rsid w:val="16736F33"/>
    <w:rsid w:val="16794FAF"/>
    <w:rsid w:val="16911A87"/>
    <w:rsid w:val="169664E4"/>
    <w:rsid w:val="16A65D64"/>
    <w:rsid w:val="16B83DEE"/>
    <w:rsid w:val="16DE0C5B"/>
    <w:rsid w:val="16F2172F"/>
    <w:rsid w:val="17051061"/>
    <w:rsid w:val="171E0489"/>
    <w:rsid w:val="17210E76"/>
    <w:rsid w:val="17516C34"/>
    <w:rsid w:val="17576E39"/>
    <w:rsid w:val="17604931"/>
    <w:rsid w:val="17690D9D"/>
    <w:rsid w:val="17791F1A"/>
    <w:rsid w:val="18155628"/>
    <w:rsid w:val="184B76BF"/>
    <w:rsid w:val="18554220"/>
    <w:rsid w:val="185C63E6"/>
    <w:rsid w:val="186F229A"/>
    <w:rsid w:val="188C38FF"/>
    <w:rsid w:val="189574C0"/>
    <w:rsid w:val="189E6D2D"/>
    <w:rsid w:val="18CA5692"/>
    <w:rsid w:val="18E73387"/>
    <w:rsid w:val="18F52505"/>
    <w:rsid w:val="19374697"/>
    <w:rsid w:val="193E00C1"/>
    <w:rsid w:val="194E36B0"/>
    <w:rsid w:val="19596C9A"/>
    <w:rsid w:val="197621DE"/>
    <w:rsid w:val="19770D78"/>
    <w:rsid w:val="19904A9B"/>
    <w:rsid w:val="19A84392"/>
    <w:rsid w:val="19B10FD0"/>
    <w:rsid w:val="19E622F6"/>
    <w:rsid w:val="19FC60BA"/>
    <w:rsid w:val="1A0365AE"/>
    <w:rsid w:val="1A204E74"/>
    <w:rsid w:val="1A2A0043"/>
    <w:rsid w:val="1A486384"/>
    <w:rsid w:val="1A56396D"/>
    <w:rsid w:val="1A6F204B"/>
    <w:rsid w:val="1A7E0CFC"/>
    <w:rsid w:val="1A8850F9"/>
    <w:rsid w:val="1AAE0510"/>
    <w:rsid w:val="1AB0194B"/>
    <w:rsid w:val="1AC91654"/>
    <w:rsid w:val="1AF3519C"/>
    <w:rsid w:val="1B2D355A"/>
    <w:rsid w:val="1B8669DE"/>
    <w:rsid w:val="1B882476"/>
    <w:rsid w:val="1B8A065A"/>
    <w:rsid w:val="1B996295"/>
    <w:rsid w:val="1B9F2B40"/>
    <w:rsid w:val="1BC21DD1"/>
    <w:rsid w:val="1BC67844"/>
    <w:rsid w:val="1BDC79DE"/>
    <w:rsid w:val="1BEC69A2"/>
    <w:rsid w:val="1C166281"/>
    <w:rsid w:val="1C2272A1"/>
    <w:rsid w:val="1C5A3AE1"/>
    <w:rsid w:val="1C610250"/>
    <w:rsid w:val="1C6214D0"/>
    <w:rsid w:val="1C725CB7"/>
    <w:rsid w:val="1C742DF3"/>
    <w:rsid w:val="1C832482"/>
    <w:rsid w:val="1CA4030D"/>
    <w:rsid w:val="1CDB1CF5"/>
    <w:rsid w:val="1CDE6448"/>
    <w:rsid w:val="1CE87992"/>
    <w:rsid w:val="1CF21197"/>
    <w:rsid w:val="1D2509F8"/>
    <w:rsid w:val="1D39639E"/>
    <w:rsid w:val="1D5B0146"/>
    <w:rsid w:val="1D69450A"/>
    <w:rsid w:val="1D9D3537"/>
    <w:rsid w:val="1DA223B2"/>
    <w:rsid w:val="1DA90CE5"/>
    <w:rsid w:val="1DC4666F"/>
    <w:rsid w:val="1DFF2D70"/>
    <w:rsid w:val="1E0F63CD"/>
    <w:rsid w:val="1E174A39"/>
    <w:rsid w:val="1E34060E"/>
    <w:rsid w:val="1E470088"/>
    <w:rsid w:val="1E7E0E4F"/>
    <w:rsid w:val="1E8B0950"/>
    <w:rsid w:val="1EDA5E16"/>
    <w:rsid w:val="1EF33EFB"/>
    <w:rsid w:val="1F0F510B"/>
    <w:rsid w:val="1F1846C1"/>
    <w:rsid w:val="1F444FE9"/>
    <w:rsid w:val="1F482645"/>
    <w:rsid w:val="1F4B65CB"/>
    <w:rsid w:val="1F8C3586"/>
    <w:rsid w:val="1F9A6C93"/>
    <w:rsid w:val="1FAD5173"/>
    <w:rsid w:val="1FC21193"/>
    <w:rsid w:val="1FD36AAD"/>
    <w:rsid w:val="1FE0017E"/>
    <w:rsid w:val="1FEA36AC"/>
    <w:rsid w:val="1FF4204B"/>
    <w:rsid w:val="20451281"/>
    <w:rsid w:val="207A0992"/>
    <w:rsid w:val="207F07B0"/>
    <w:rsid w:val="209B0C1E"/>
    <w:rsid w:val="209D53D7"/>
    <w:rsid w:val="20A90EC8"/>
    <w:rsid w:val="20B9631A"/>
    <w:rsid w:val="20CF6BA1"/>
    <w:rsid w:val="20DD321C"/>
    <w:rsid w:val="20E136AB"/>
    <w:rsid w:val="20FE1DFE"/>
    <w:rsid w:val="213B7DA1"/>
    <w:rsid w:val="21495F93"/>
    <w:rsid w:val="216C3110"/>
    <w:rsid w:val="21850EB0"/>
    <w:rsid w:val="21895655"/>
    <w:rsid w:val="21A727D8"/>
    <w:rsid w:val="21A960F5"/>
    <w:rsid w:val="21E659F2"/>
    <w:rsid w:val="22215A64"/>
    <w:rsid w:val="222C3819"/>
    <w:rsid w:val="22692EC0"/>
    <w:rsid w:val="226D75AC"/>
    <w:rsid w:val="227F5E13"/>
    <w:rsid w:val="22A45E0E"/>
    <w:rsid w:val="22D836EE"/>
    <w:rsid w:val="22E45CD0"/>
    <w:rsid w:val="22E63C74"/>
    <w:rsid w:val="22FF561D"/>
    <w:rsid w:val="230305B1"/>
    <w:rsid w:val="231F621F"/>
    <w:rsid w:val="23256EC7"/>
    <w:rsid w:val="235E10F0"/>
    <w:rsid w:val="237767FF"/>
    <w:rsid w:val="238240EE"/>
    <w:rsid w:val="23B178FC"/>
    <w:rsid w:val="23DB1CC2"/>
    <w:rsid w:val="23DE6437"/>
    <w:rsid w:val="23E74E6E"/>
    <w:rsid w:val="23FC2F1B"/>
    <w:rsid w:val="24213028"/>
    <w:rsid w:val="24353AFC"/>
    <w:rsid w:val="243844EA"/>
    <w:rsid w:val="245264A4"/>
    <w:rsid w:val="24673827"/>
    <w:rsid w:val="24773772"/>
    <w:rsid w:val="247E093F"/>
    <w:rsid w:val="2486391B"/>
    <w:rsid w:val="248A5495"/>
    <w:rsid w:val="24A345B7"/>
    <w:rsid w:val="24AA67BC"/>
    <w:rsid w:val="24C921F4"/>
    <w:rsid w:val="24D05AF9"/>
    <w:rsid w:val="25086ADD"/>
    <w:rsid w:val="252773C4"/>
    <w:rsid w:val="253B5254"/>
    <w:rsid w:val="25432B3F"/>
    <w:rsid w:val="254A6EF9"/>
    <w:rsid w:val="2568634C"/>
    <w:rsid w:val="25981531"/>
    <w:rsid w:val="25A1072C"/>
    <w:rsid w:val="25B52A09"/>
    <w:rsid w:val="25BF7294"/>
    <w:rsid w:val="25DA3AB8"/>
    <w:rsid w:val="25E87E52"/>
    <w:rsid w:val="25EC3884"/>
    <w:rsid w:val="26147474"/>
    <w:rsid w:val="26416DF4"/>
    <w:rsid w:val="266A4E01"/>
    <w:rsid w:val="269C6768"/>
    <w:rsid w:val="26E12FB9"/>
    <w:rsid w:val="26FA155C"/>
    <w:rsid w:val="270E183C"/>
    <w:rsid w:val="27117B3B"/>
    <w:rsid w:val="27163DA3"/>
    <w:rsid w:val="2737180A"/>
    <w:rsid w:val="273B1554"/>
    <w:rsid w:val="27C12D8F"/>
    <w:rsid w:val="28074F5A"/>
    <w:rsid w:val="281A0FBA"/>
    <w:rsid w:val="28254F95"/>
    <w:rsid w:val="288E619D"/>
    <w:rsid w:val="28C81064"/>
    <w:rsid w:val="28D462F7"/>
    <w:rsid w:val="28E11BC8"/>
    <w:rsid w:val="28F810BC"/>
    <w:rsid w:val="290636C3"/>
    <w:rsid w:val="29131B68"/>
    <w:rsid w:val="292C7B17"/>
    <w:rsid w:val="29350EB3"/>
    <w:rsid w:val="29801083"/>
    <w:rsid w:val="29977865"/>
    <w:rsid w:val="29AF6CA2"/>
    <w:rsid w:val="29B514C3"/>
    <w:rsid w:val="29BD5603"/>
    <w:rsid w:val="29C12E4B"/>
    <w:rsid w:val="29C1433C"/>
    <w:rsid w:val="29F27E0C"/>
    <w:rsid w:val="29FE733F"/>
    <w:rsid w:val="2A104B38"/>
    <w:rsid w:val="2A2A6D30"/>
    <w:rsid w:val="2A3560AF"/>
    <w:rsid w:val="2A55174F"/>
    <w:rsid w:val="2A8E1DB6"/>
    <w:rsid w:val="2A93302C"/>
    <w:rsid w:val="2AA1322A"/>
    <w:rsid w:val="2AC55A51"/>
    <w:rsid w:val="2AD32E5F"/>
    <w:rsid w:val="2ADF08A1"/>
    <w:rsid w:val="2AE50C27"/>
    <w:rsid w:val="2AE73867"/>
    <w:rsid w:val="2AE854AF"/>
    <w:rsid w:val="2B0807A0"/>
    <w:rsid w:val="2B3511B2"/>
    <w:rsid w:val="2B646CFC"/>
    <w:rsid w:val="2B7703EE"/>
    <w:rsid w:val="2B7B0A34"/>
    <w:rsid w:val="2B91237F"/>
    <w:rsid w:val="2B985EEB"/>
    <w:rsid w:val="2BC713C2"/>
    <w:rsid w:val="2BDA014F"/>
    <w:rsid w:val="2BE158A2"/>
    <w:rsid w:val="2BF36EEC"/>
    <w:rsid w:val="2BFA4EDA"/>
    <w:rsid w:val="2C1610D4"/>
    <w:rsid w:val="2C1626A3"/>
    <w:rsid w:val="2C1E7F01"/>
    <w:rsid w:val="2C217884"/>
    <w:rsid w:val="2C8629CA"/>
    <w:rsid w:val="2C901DBD"/>
    <w:rsid w:val="2CA021C9"/>
    <w:rsid w:val="2CDA24B4"/>
    <w:rsid w:val="2CFB2A97"/>
    <w:rsid w:val="2D006A49"/>
    <w:rsid w:val="2D197858"/>
    <w:rsid w:val="2D1A1DD3"/>
    <w:rsid w:val="2D1C4D6B"/>
    <w:rsid w:val="2D2D4B59"/>
    <w:rsid w:val="2D31477A"/>
    <w:rsid w:val="2D3C640D"/>
    <w:rsid w:val="2D81600D"/>
    <w:rsid w:val="2D82136A"/>
    <w:rsid w:val="2DB51E27"/>
    <w:rsid w:val="2DB90D09"/>
    <w:rsid w:val="2DCC61B7"/>
    <w:rsid w:val="2DE07BC1"/>
    <w:rsid w:val="2DEA1B2F"/>
    <w:rsid w:val="2DEF21BC"/>
    <w:rsid w:val="2DEF7462"/>
    <w:rsid w:val="2DF76ACD"/>
    <w:rsid w:val="2E0323AF"/>
    <w:rsid w:val="2E05543C"/>
    <w:rsid w:val="2E5E736B"/>
    <w:rsid w:val="2E860E98"/>
    <w:rsid w:val="2E866FF1"/>
    <w:rsid w:val="2EA720DE"/>
    <w:rsid w:val="2EAE25BE"/>
    <w:rsid w:val="2EB07C3C"/>
    <w:rsid w:val="2EBE52F5"/>
    <w:rsid w:val="2F100842"/>
    <w:rsid w:val="2F3904F2"/>
    <w:rsid w:val="2F3A25FB"/>
    <w:rsid w:val="2F8C290B"/>
    <w:rsid w:val="2F96524A"/>
    <w:rsid w:val="2FAD7ED0"/>
    <w:rsid w:val="302B1B00"/>
    <w:rsid w:val="3041215F"/>
    <w:rsid w:val="30456ECF"/>
    <w:rsid w:val="304B53D1"/>
    <w:rsid w:val="305333CF"/>
    <w:rsid w:val="30897916"/>
    <w:rsid w:val="3094053A"/>
    <w:rsid w:val="30A2199A"/>
    <w:rsid w:val="30AF01FE"/>
    <w:rsid w:val="30BC0D6F"/>
    <w:rsid w:val="30BC1580"/>
    <w:rsid w:val="30E664D9"/>
    <w:rsid w:val="31061549"/>
    <w:rsid w:val="31123AF3"/>
    <w:rsid w:val="314C3101"/>
    <w:rsid w:val="316818B1"/>
    <w:rsid w:val="317E6E71"/>
    <w:rsid w:val="319C2492"/>
    <w:rsid w:val="31BD3713"/>
    <w:rsid w:val="31D91977"/>
    <w:rsid w:val="31E22D2E"/>
    <w:rsid w:val="320F373D"/>
    <w:rsid w:val="32105418"/>
    <w:rsid w:val="32351402"/>
    <w:rsid w:val="324528AB"/>
    <w:rsid w:val="3271240F"/>
    <w:rsid w:val="327C72F0"/>
    <w:rsid w:val="32B15D30"/>
    <w:rsid w:val="32CD6BF9"/>
    <w:rsid w:val="32D63D2E"/>
    <w:rsid w:val="32DD59B8"/>
    <w:rsid w:val="32F16F94"/>
    <w:rsid w:val="3305519E"/>
    <w:rsid w:val="331B1B3D"/>
    <w:rsid w:val="331F0A4A"/>
    <w:rsid w:val="33224DA0"/>
    <w:rsid w:val="33300EB4"/>
    <w:rsid w:val="33375AF0"/>
    <w:rsid w:val="33604095"/>
    <w:rsid w:val="33763FD7"/>
    <w:rsid w:val="33AA1458"/>
    <w:rsid w:val="33B13479"/>
    <w:rsid w:val="33BE7CFA"/>
    <w:rsid w:val="33D542E8"/>
    <w:rsid w:val="34076047"/>
    <w:rsid w:val="34136804"/>
    <w:rsid w:val="343414E2"/>
    <w:rsid w:val="34486366"/>
    <w:rsid w:val="34526DC3"/>
    <w:rsid w:val="34855C35"/>
    <w:rsid w:val="348F025D"/>
    <w:rsid w:val="34BA052A"/>
    <w:rsid w:val="34CB4FD4"/>
    <w:rsid w:val="34DB4F20"/>
    <w:rsid w:val="34E3717B"/>
    <w:rsid w:val="35021552"/>
    <w:rsid w:val="35467964"/>
    <w:rsid w:val="356174CA"/>
    <w:rsid w:val="3563612E"/>
    <w:rsid w:val="357F143F"/>
    <w:rsid w:val="358745D4"/>
    <w:rsid w:val="35AF178F"/>
    <w:rsid w:val="35C65653"/>
    <w:rsid w:val="35E160A4"/>
    <w:rsid w:val="35F672CB"/>
    <w:rsid w:val="35F707F2"/>
    <w:rsid w:val="36550E38"/>
    <w:rsid w:val="366D4F4C"/>
    <w:rsid w:val="369B4038"/>
    <w:rsid w:val="36AA1FA2"/>
    <w:rsid w:val="36AF38CC"/>
    <w:rsid w:val="36E25FEB"/>
    <w:rsid w:val="36EA7C81"/>
    <w:rsid w:val="37102876"/>
    <w:rsid w:val="37503780"/>
    <w:rsid w:val="375630EB"/>
    <w:rsid w:val="37725457"/>
    <w:rsid w:val="379913AD"/>
    <w:rsid w:val="37A271A4"/>
    <w:rsid w:val="37A74334"/>
    <w:rsid w:val="37C87525"/>
    <w:rsid w:val="37D05C75"/>
    <w:rsid w:val="37D1440F"/>
    <w:rsid w:val="381349CD"/>
    <w:rsid w:val="382E6313"/>
    <w:rsid w:val="38477E3A"/>
    <w:rsid w:val="38546D8B"/>
    <w:rsid w:val="385733E9"/>
    <w:rsid w:val="386E21D1"/>
    <w:rsid w:val="38782344"/>
    <w:rsid w:val="38987794"/>
    <w:rsid w:val="389B6D5C"/>
    <w:rsid w:val="38B111EB"/>
    <w:rsid w:val="38B51368"/>
    <w:rsid w:val="38E86B49"/>
    <w:rsid w:val="38EE2C2C"/>
    <w:rsid w:val="38F739C7"/>
    <w:rsid w:val="39217F23"/>
    <w:rsid w:val="396E73E3"/>
    <w:rsid w:val="398D5D5C"/>
    <w:rsid w:val="39C24173"/>
    <w:rsid w:val="39C3331D"/>
    <w:rsid w:val="39F63CF4"/>
    <w:rsid w:val="3A064DFA"/>
    <w:rsid w:val="3A102AE1"/>
    <w:rsid w:val="3A210277"/>
    <w:rsid w:val="3A2A5F88"/>
    <w:rsid w:val="3A560415"/>
    <w:rsid w:val="3A6F3E43"/>
    <w:rsid w:val="3A72489A"/>
    <w:rsid w:val="3A7F2103"/>
    <w:rsid w:val="3AC00D6A"/>
    <w:rsid w:val="3AF30FF8"/>
    <w:rsid w:val="3B133E8F"/>
    <w:rsid w:val="3B1E1290"/>
    <w:rsid w:val="3B267B43"/>
    <w:rsid w:val="3B325BE8"/>
    <w:rsid w:val="3B4A4B48"/>
    <w:rsid w:val="3B4C4E08"/>
    <w:rsid w:val="3B5A7427"/>
    <w:rsid w:val="3BBF5348"/>
    <w:rsid w:val="3BC11F6C"/>
    <w:rsid w:val="3BD36EFF"/>
    <w:rsid w:val="3BF43F04"/>
    <w:rsid w:val="3C172325"/>
    <w:rsid w:val="3C1C298E"/>
    <w:rsid w:val="3C5E10E6"/>
    <w:rsid w:val="3C8C5A32"/>
    <w:rsid w:val="3CD9486E"/>
    <w:rsid w:val="3CDB767E"/>
    <w:rsid w:val="3CF30269"/>
    <w:rsid w:val="3D192C0E"/>
    <w:rsid w:val="3D2B4614"/>
    <w:rsid w:val="3D3F6F8F"/>
    <w:rsid w:val="3D4143AC"/>
    <w:rsid w:val="3D415084"/>
    <w:rsid w:val="3D484174"/>
    <w:rsid w:val="3D881E5D"/>
    <w:rsid w:val="3D893448"/>
    <w:rsid w:val="3DA92DF1"/>
    <w:rsid w:val="3DC353FD"/>
    <w:rsid w:val="3E0007C8"/>
    <w:rsid w:val="3E1009D5"/>
    <w:rsid w:val="3E165C09"/>
    <w:rsid w:val="3E766696"/>
    <w:rsid w:val="3E92128B"/>
    <w:rsid w:val="3E962B43"/>
    <w:rsid w:val="3EB439A4"/>
    <w:rsid w:val="3EB54FFF"/>
    <w:rsid w:val="3EB64B20"/>
    <w:rsid w:val="3ED15EB6"/>
    <w:rsid w:val="3F052020"/>
    <w:rsid w:val="3F12174B"/>
    <w:rsid w:val="3F423B86"/>
    <w:rsid w:val="3F5332E2"/>
    <w:rsid w:val="3F5E227F"/>
    <w:rsid w:val="3F725B12"/>
    <w:rsid w:val="3F7337E0"/>
    <w:rsid w:val="3F864282"/>
    <w:rsid w:val="3F8705E3"/>
    <w:rsid w:val="3F955BB8"/>
    <w:rsid w:val="3FF96E2C"/>
    <w:rsid w:val="403E25F7"/>
    <w:rsid w:val="405E6EDE"/>
    <w:rsid w:val="4077346A"/>
    <w:rsid w:val="40A97D4A"/>
    <w:rsid w:val="40AD61C5"/>
    <w:rsid w:val="40B93EEE"/>
    <w:rsid w:val="40BA19F8"/>
    <w:rsid w:val="40BD2213"/>
    <w:rsid w:val="40DB48CF"/>
    <w:rsid w:val="40FA4AFB"/>
    <w:rsid w:val="41253F5D"/>
    <w:rsid w:val="413C6933"/>
    <w:rsid w:val="4150437E"/>
    <w:rsid w:val="41534353"/>
    <w:rsid w:val="416A35AB"/>
    <w:rsid w:val="4172541A"/>
    <w:rsid w:val="41847BA6"/>
    <w:rsid w:val="41E06217"/>
    <w:rsid w:val="41F54F5A"/>
    <w:rsid w:val="41FC4875"/>
    <w:rsid w:val="42130EBA"/>
    <w:rsid w:val="42490DCC"/>
    <w:rsid w:val="42687F2A"/>
    <w:rsid w:val="42737C98"/>
    <w:rsid w:val="427D5424"/>
    <w:rsid w:val="429E1F7B"/>
    <w:rsid w:val="42A233A7"/>
    <w:rsid w:val="42D63E36"/>
    <w:rsid w:val="42E107E2"/>
    <w:rsid w:val="431B30E4"/>
    <w:rsid w:val="431B5210"/>
    <w:rsid w:val="43324C79"/>
    <w:rsid w:val="434F5F6D"/>
    <w:rsid w:val="4357243C"/>
    <w:rsid w:val="43A05323"/>
    <w:rsid w:val="43B8712B"/>
    <w:rsid w:val="43C37964"/>
    <w:rsid w:val="43F01C02"/>
    <w:rsid w:val="44242CC9"/>
    <w:rsid w:val="443072E3"/>
    <w:rsid w:val="44384C42"/>
    <w:rsid w:val="443C34B2"/>
    <w:rsid w:val="444401F7"/>
    <w:rsid w:val="445C2C2F"/>
    <w:rsid w:val="446178AC"/>
    <w:rsid w:val="448D1E8D"/>
    <w:rsid w:val="44BF3B38"/>
    <w:rsid w:val="44DD0767"/>
    <w:rsid w:val="44EA6089"/>
    <w:rsid w:val="44EA6A49"/>
    <w:rsid w:val="44F50768"/>
    <w:rsid w:val="451D2A24"/>
    <w:rsid w:val="45235DB7"/>
    <w:rsid w:val="45563823"/>
    <w:rsid w:val="45891AD3"/>
    <w:rsid w:val="459B5B68"/>
    <w:rsid w:val="45A06B8B"/>
    <w:rsid w:val="45BC0B85"/>
    <w:rsid w:val="45D85025"/>
    <w:rsid w:val="45DA280F"/>
    <w:rsid w:val="45ED7529"/>
    <w:rsid w:val="46051F46"/>
    <w:rsid w:val="4614152E"/>
    <w:rsid w:val="463D41C4"/>
    <w:rsid w:val="466B6D3A"/>
    <w:rsid w:val="468451D2"/>
    <w:rsid w:val="46D45C41"/>
    <w:rsid w:val="46EA0515"/>
    <w:rsid w:val="46EB771C"/>
    <w:rsid w:val="46FD081D"/>
    <w:rsid w:val="4714723E"/>
    <w:rsid w:val="47525C82"/>
    <w:rsid w:val="478E10BB"/>
    <w:rsid w:val="479E6500"/>
    <w:rsid w:val="47A93D57"/>
    <w:rsid w:val="47BC04F2"/>
    <w:rsid w:val="47C66C4E"/>
    <w:rsid w:val="47C9013D"/>
    <w:rsid w:val="4829016C"/>
    <w:rsid w:val="48572168"/>
    <w:rsid w:val="48612D41"/>
    <w:rsid w:val="48663E39"/>
    <w:rsid w:val="48684DC2"/>
    <w:rsid w:val="48717D60"/>
    <w:rsid w:val="487B04BC"/>
    <w:rsid w:val="48C61D75"/>
    <w:rsid w:val="48CE65B8"/>
    <w:rsid w:val="48E45D76"/>
    <w:rsid w:val="48FA050B"/>
    <w:rsid w:val="490F3FDE"/>
    <w:rsid w:val="49294743"/>
    <w:rsid w:val="4956373C"/>
    <w:rsid w:val="4971223B"/>
    <w:rsid w:val="49866073"/>
    <w:rsid w:val="49C355C9"/>
    <w:rsid w:val="49D21ECD"/>
    <w:rsid w:val="49D943F4"/>
    <w:rsid w:val="49E906E0"/>
    <w:rsid w:val="4A4A6819"/>
    <w:rsid w:val="4A9D0CFD"/>
    <w:rsid w:val="4AB67E25"/>
    <w:rsid w:val="4ABB1E99"/>
    <w:rsid w:val="4AD4252A"/>
    <w:rsid w:val="4B057A9E"/>
    <w:rsid w:val="4B086E0B"/>
    <w:rsid w:val="4B0B080C"/>
    <w:rsid w:val="4B5D11C9"/>
    <w:rsid w:val="4B613C0D"/>
    <w:rsid w:val="4B7D7D66"/>
    <w:rsid w:val="4B877A48"/>
    <w:rsid w:val="4BB20E9F"/>
    <w:rsid w:val="4BF60B62"/>
    <w:rsid w:val="4C061035"/>
    <w:rsid w:val="4C431332"/>
    <w:rsid w:val="4C4A0A08"/>
    <w:rsid w:val="4C516FA2"/>
    <w:rsid w:val="4C641EEA"/>
    <w:rsid w:val="4C6C40C7"/>
    <w:rsid w:val="4C6E1D20"/>
    <w:rsid w:val="4CA60478"/>
    <w:rsid w:val="4CBB26B1"/>
    <w:rsid w:val="4CD30577"/>
    <w:rsid w:val="4D3D43B6"/>
    <w:rsid w:val="4D5258B8"/>
    <w:rsid w:val="4DC34132"/>
    <w:rsid w:val="4DC5735C"/>
    <w:rsid w:val="4DD344D0"/>
    <w:rsid w:val="4DEC39FB"/>
    <w:rsid w:val="4DED35CE"/>
    <w:rsid w:val="4DF41F24"/>
    <w:rsid w:val="4E002DE4"/>
    <w:rsid w:val="4E0108E0"/>
    <w:rsid w:val="4E0137D1"/>
    <w:rsid w:val="4E1247A2"/>
    <w:rsid w:val="4E3819A8"/>
    <w:rsid w:val="4E650AAA"/>
    <w:rsid w:val="4E780434"/>
    <w:rsid w:val="4E7C3533"/>
    <w:rsid w:val="4E8613BF"/>
    <w:rsid w:val="4E8B2B9C"/>
    <w:rsid w:val="4EBB4A6C"/>
    <w:rsid w:val="4EE70DCD"/>
    <w:rsid w:val="4EFE7FE7"/>
    <w:rsid w:val="4F575969"/>
    <w:rsid w:val="4F651666"/>
    <w:rsid w:val="4F697F08"/>
    <w:rsid w:val="4F751E53"/>
    <w:rsid w:val="4F7D7473"/>
    <w:rsid w:val="4F8A1070"/>
    <w:rsid w:val="4F9E6C72"/>
    <w:rsid w:val="4FAC2BA2"/>
    <w:rsid w:val="4FB33B95"/>
    <w:rsid w:val="4FCF6BC8"/>
    <w:rsid w:val="4FD90AD9"/>
    <w:rsid w:val="4FE43DDD"/>
    <w:rsid w:val="4FEB5937"/>
    <w:rsid w:val="4FF16F35"/>
    <w:rsid w:val="4FF84FF0"/>
    <w:rsid w:val="50265E96"/>
    <w:rsid w:val="50304FB9"/>
    <w:rsid w:val="50657C3F"/>
    <w:rsid w:val="50690B5B"/>
    <w:rsid w:val="506C667A"/>
    <w:rsid w:val="509C7725"/>
    <w:rsid w:val="509C7C4C"/>
    <w:rsid w:val="509D041B"/>
    <w:rsid w:val="509F6383"/>
    <w:rsid w:val="50B07FB8"/>
    <w:rsid w:val="50BB1C77"/>
    <w:rsid w:val="50E86CE1"/>
    <w:rsid w:val="51081EB4"/>
    <w:rsid w:val="511901AC"/>
    <w:rsid w:val="512011BF"/>
    <w:rsid w:val="51303C5C"/>
    <w:rsid w:val="51456762"/>
    <w:rsid w:val="51587603"/>
    <w:rsid w:val="516D03CF"/>
    <w:rsid w:val="51880E14"/>
    <w:rsid w:val="51A23F89"/>
    <w:rsid w:val="51A41800"/>
    <w:rsid w:val="51C554A7"/>
    <w:rsid w:val="51D957B0"/>
    <w:rsid w:val="51DD5015"/>
    <w:rsid w:val="51ED037D"/>
    <w:rsid w:val="51FF66F6"/>
    <w:rsid w:val="52262258"/>
    <w:rsid w:val="523E4EFD"/>
    <w:rsid w:val="523F258B"/>
    <w:rsid w:val="52413FF2"/>
    <w:rsid w:val="52573B2C"/>
    <w:rsid w:val="526F649D"/>
    <w:rsid w:val="529B793B"/>
    <w:rsid w:val="52A14AD3"/>
    <w:rsid w:val="52AE3521"/>
    <w:rsid w:val="52B80D9D"/>
    <w:rsid w:val="531F68EF"/>
    <w:rsid w:val="532A5D2B"/>
    <w:rsid w:val="53735E3F"/>
    <w:rsid w:val="53745B37"/>
    <w:rsid w:val="538D4177"/>
    <w:rsid w:val="539C3043"/>
    <w:rsid w:val="53B75CB1"/>
    <w:rsid w:val="53FD3747"/>
    <w:rsid w:val="540E4306"/>
    <w:rsid w:val="54204C6F"/>
    <w:rsid w:val="5435010C"/>
    <w:rsid w:val="54462E26"/>
    <w:rsid w:val="545B7466"/>
    <w:rsid w:val="546654E2"/>
    <w:rsid w:val="5467146E"/>
    <w:rsid w:val="54756E3A"/>
    <w:rsid w:val="547E521C"/>
    <w:rsid w:val="548D4A6A"/>
    <w:rsid w:val="549C4364"/>
    <w:rsid w:val="54AD64B8"/>
    <w:rsid w:val="54DB14A0"/>
    <w:rsid w:val="54FE414C"/>
    <w:rsid w:val="554230EF"/>
    <w:rsid w:val="556961A9"/>
    <w:rsid w:val="55743713"/>
    <w:rsid w:val="557A7269"/>
    <w:rsid w:val="55812005"/>
    <w:rsid w:val="558D0C3D"/>
    <w:rsid w:val="55EA4257"/>
    <w:rsid w:val="561B4E94"/>
    <w:rsid w:val="56241275"/>
    <w:rsid w:val="563F77A1"/>
    <w:rsid w:val="563F7E61"/>
    <w:rsid w:val="565B3E09"/>
    <w:rsid w:val="567A4239"/>
    <w:rsid w:val="56993F91"/>
    <w:rsid w:val="56BB30E7"/>
    <w:rsid w:val="57021B90"/>
    <w:rsid w:val="57082C48"/>
    <w:rsid w:val="57122492"/>
    <w:rsid w:val="5715691D"/>
    <w:rsid w:val="572C320F"/>
    <w:rsid w:val="577B69BD"/>
    <w:rsid w:val="577C21FE"/>
    <w:rsid w:val="578651C9"/>
    <w:rsid w:val="57965BE1"/>
    <w:rsid w:val="57A90016"/>
    <w:rsid w:val="57E40DAD"/>
    <w:rsid w:val="57EA5CD0"/>
    <w:rsid w:val="580C3EEC"/>
    <w:rsid w:val="58110F12"/>
    <w:rsid w:val="584C0551"/>
    <w:rsid w:val="58662639"/>
    <w:rsid w:val="5878541C"/>
    <w:rsid w:val="587A7F54"/>
    <w:rsid w:val="587B1D75"/>
    <w:rsid w:val="58A92CEC"/>
    <w:rsid w:val="58D446C3"/>
    <w:rsid w:val="595B66C2"/>
    <w:rsid w:val="5960392E"/>
    <w:rsid w:val="59662A35"/>
    <w:rsid w:val="59684ACA"/>
    <w:rsid w:val="596E4564"/>
    <w:rsid w:val="599066F9"/>
    <w:rsid w:val="59A73705"/>
    <w:rsid w:val="59D87DCF"/>
    <w:rsid w:val="59F0742F"/>
    <w:rsid w:val="5A634A7D"/>
    <w:rsid w:val="5A6F3776"/>
    <w:rsid w:val="5AA677CC"/>
    <w:rsid w:val="5ABD18CA"/>
    <w:rsid w:val="5B443737"/>
    <w:rsid w:val="5B5205DD"/>
    <w:rsid w:val="5B604CCA"/>
    <w:rsid w:val="5B67652A"/>
    <w:rsid w:val="5B6F7036"/>
    <w:rsid w:val="5B8703E4"/>
    <w:rsid w:val="5B966DD2"/>
    <w:rsid w:val="5BA265C2"/>
    <w:rsid w:val="5BC568B9"/>
    <w:rsid w:val="5BC71635"/>
    <w:rsid w:val="5BCB2610"/>
    <w:rsid w:val="5BFF1D9A"/>
    <w:rsid w:val="5C0E7CF1"/>
    <w:rsid w:val="5C4A0EB4"/>
    <w:rsid w:val="5C5A4482"/>
    <w:rsid w:val="5C6B1596"/>
    <w:rsid w:val="5CB24BCB"/>
    <w:rsid w:val="5CC17D31"/>
    <w:rsid w:val="5CC41382"/>
    <w:rsid w:val="5CDD295F"/>
    <w:rsid w:val="5CF115DF"/>
    <w:rsid w:val="5CF45BB2"/>
    <w:rsid w:val="5D194C3D"/>
    <w:rsid w:val="5D2232F7"/>
    <w:rsid w:val="5D2F31D0"/>
    <w:rsid w:val="5D48732D"/>
    <w:rsid w:val="5D580961"/>
    <w:rsid w:val="5D690F1E"/>
    <w:rsid w:val="5DCA5050"/>
    <w:rsid w:val="5DDB196F"/>
    <w:rsid w:val="5E073D09"/>
    <w:rsid w:val="5E0A443F"/>
    <w:rsid w:val="5E1530B6"/>
    <w:rsid w:val="5E2E4AE0"/>
    <w:rsid w:val="5E375644"/>
    <w:rsid w:val="5EC31AA9"/>
    <w:rsid w:val="5EEC330D"/>
    <w:rsid w:val="5EF3790D"/>
    <w:rsid w:val="5F0C3257"/>
    <w:rsid w:val="5F1434D4"/>
    <w:rsid w:val="5F2B542C"/>
    <w:rsid w:val="5F41261C"/>
    <w:rsid w:val="5F4173B9"/>
    <w:rsid w:val="5F795BF0"/>
    <w:rsid w:val="5F7F4C48"/>
    <w:rsid w:val="5F902C08"/>
    <w:rsid w:val="5F9510AA"/>
    <w:rsid w:val="5FC44E70"/>
    <w:rsid w:val="5FCC71BD"/>
    <w:rsid w:val="5FEE1EBE"/>
    <w:rsid w:val="5FFD786A"/>
    <w:rsid w:val="60163D08"/>
    <w:rsid w:val="60397C61"/>
    <w:rsid w:val="60457738"/>
    <w:rsid w:val="606F05D1"/>
    <w:rsid w:val="6071081A"/>
    <w:rsid w:val="608753A8"/>
    <w:rsid w:val="60C127E2"/>
    <w:rsid w:val="60C867CC"/>
    <w:rsid w:val="60F323C6"/>
    <w:rsid w:val="611B27B8"/>
    <w:rsid w:val="61202530"/>
    <w:rsid w:val="61675558"/>
    <w:rsid w:val="61791EBB"/>
    <w:rsid w:val="619838AF"/>
    <w:rsid w:val="61A258C3"/>
    <w:rsid w:val="61C17C40"/>
    <w:rsid w:val="61C50803"/>
    <w:rsid w:val="61CF285E"/>
    <w:rsid w:val="61D314A7"/>
    <w:rsid w:val="61E31FF7"/>
    <w:rsid w:val="61F3253A"/>
    <w:rsid w:val="61F72004"/>
    <w:rsid w:val="623364E2"/>
    <w:rsid w:val="62451771"/>
    <w:rsid w:val="6269371F"/>
    <w:rsid w:val="6280270B"/>
    <w:rsid w:val="6290138D"/>
    <w:rsid w:val="62C805B9"/>
    <w:rsid w:val="62FE4DB6"/>
    <w:rsid w:val="63411233"/>
    <w:rsid w:val="63712EFC"/>
    <w:rsid w:val="6371519C"/>
    <w:rsid w:val="637670BD"/>
    <w:rsid w:val="63800B4F"/>
    <w:rsid w:val="63CF7EA0"/>
    <w:rsid w:val="63EB1278"/>
    <w:rsid w:val="63FE7C90"/>
    <w:rsid w:val="64130C9C"/>
    <w:rsid w:val="642C3936"/>
    <w:rsid w:val="64890688"/>
    <w:rsid w:val="64A56503"/>
    <w:rsid w:val="64C12427"/>
    <w:rsid w:val="64CC7083"/>
    <w:rsid w:val="64DA32FF"/>
    <w:rsid w:val="64E61333"/>
    <w:rsid w:val="65127615"/>
    <w:rsid w:val="65565D21"/>
    <w:rsid w:val="655C17E3"/>
    <w:rsid w:val="656320EA"/>
    <w:rsid w:val="65831797"/>
    <w:rsid w:val="6591477F"/>
    <w:rsid w:val="65925BD2"/>
    <w:rsid w:val="659B6441"/>
    <w:rsid w:val="65C1034B"/>
    <w:rsid w:val="65C42EAC"/>
    <w:rsid w:val="65CF29CA"/>
    <w:rsid w:val="65E56C2E"/>
    <w:rsid w:val="660B7AD6"/>
    <w:rsid w:val="66166E16"/>
    <w:rsid w:val="662C2089"/>
    <w:rsid w:val="664137D1"/>
    <w:rsid w:val="665076A0"/>
    <w:rsid w:val="66644C03"/>
    <w:rsid w:val="66A7395A"/>
    <w:rsid w:val="66FE61A5"/>
    <w:rsid w:val="67142C59"/>
    <w:rsid w:val="672B09C0"/>
    <w:rsid w:val="673E3156"/>
    <w:rsid w:val="676B0119"/>
    <w:rsid w:val="67B17F2F"/>
    <w:rsid w:val="67BC34A3"/>
    <w:rsid w:val="67CD448E"/>
    <w:rsid w:val="6810489D"/>
    <w:rsid w:val="6812469A"/>
    <w:rsid w:val="6819169E"/>
    <w:rsid w:val="68343D01"/>
    <w:rsid w:val="68345EFA"/>
    <w:rsid w:val="68412D1F"/>
    <w:rsid w:val="68521491"/>
    <w:rsid w:val="68651773"/>
    <w:rsid w:val="687363E0"/>
    <w:rsid w:val="687D25D7"/>
    <w:rsid w:val="68831DF1"/>
    <w:rsid w:val="688A0424"/>
    <w:rsid w:val="688E69D5"/>
    <w:rsid w:val="68B005BF"/>
    <w:rsid w:val="68F10015"/>
    <w:rsid w:val="69453CAE"/>
    <w:rsid w:val="696D044F"/>
    <w:rsid w:val="69CC5084"/>
    <w:rsid w:val="69D42DFD"/>
    <w:rsid w:val="6A2B72E8"/>
    <w:rsid w:val="6A391245"/>
    <w:rsid w:val="6A4D38CC"/>
    <w:rsid w:val="6A6E67B5"/>
    <w:rsid w:val="6A7829DF"/>
    <w:rsid w:val="6A7B3501"/>
    <w:rsid w:val="6A83070A"/>
    <w:rsid w:val="6A952B73"/>
    <w:rsid w:val="6AA276F6"/>
    <w:rsid w:val="6AA767DF"/>
    <w:rsid w:val="6AD34EB7"/>
    <w:rsid w:val="6B2F65CA"/>
    <w:rsid w:val="6B417688"/>
    <w:rsid w:val="6B5A1378"/>
    <w:rsid w:val="6B792D95"/>
    <w:rsid w:val="6B7945B2"/>
    <w:rsid w:val="6B8332DC"/>
    <w:rsid w:val="6B836D12"/>
    <w:rsid w:val="6B8D7098"/>
    <w:rsid w:val="6B9348DB"/>
    <w:rsid w:val="6BAC1F09"/>
    <w:rsid w:val="6BBC605C"/>
    <w:rsid w:val="6BCE1881"/>
    <w:rsid w:val="6C133BBF"/>
    <w:rsid w:val="6C2528C3"/>
    <w:rsid w:val="6C371F10"/>
    <w:rsid w:val="6C434A75"/>
    <w:rsid w:val="6C587DD6"/>
    <w:rsid w:val="6C67143D"/>
    <w:rsid w:val="6C7F28FB"/>
    <w:rsid w:val="6CC15681"/>
    <w:rsid w:val="6CC169EA"/>
    <w:rsid w:val="6CCE3EAF"/>
    <w:rsid w:val="6CE80DD5"/>
    <w:rsid w:val="6D0C2EC7"/>
    <w:rsid w:val="6D134AF5"/>
    <w:rsid w:val="6D1D4182"/>
    <w:rsid w:val="6D6862A9"/>
    <w:rsid w:val="6D82609C"/>
    <w:rsid w:val="6D855466"/>
    <w:rsid w:val="6DE60C71"/>
    <w:rsid w:val="6DF632CA"/>
    <w:rsid w:val="6E044221"/>
    <w:rsid w:val="6E1E7816"/>
    <w:rsid w:val="6E5B73C2"/>
    <w:rsid w:val="6E6A7057"/>
    <w:rsid w:val="6EA4595A"/>
    <w:rsid w:val="6EA460B0"/>
    <w:rsid w:val="6EA67F1E"/>
    <w:rsid w:val="6ECB337E"/>
    <w:rsid w:val="6ED748E2"/>
    <w:rsid w:val="6EEA141A"/>
    <w:rsid w:val="6F006126"/>
    <w:rsid w:val="6F120F6C"/>
    <w:rsid w:val="6F552753"/>
    <w:rsid w:val="6F58119A"/>
    <w:rsid w:val="6F6A69DF"/>
    <w:rsid w:val="6FB474C1"/>
    <w:rsid w:val="6FD67D2D"/>
    <w:rsid w:val="6FEF0602"/>
    <w:rsid w:val="700A59AE"/>
    <w:rsid w:val="702D1129"/>
    <w:rsid w:val="703F2A9B"/>
    <w:rsid w:val="70513BCB"/>
    <w:rsid w:val="70540A97"/>
    <w:rsid w:val="70877F12"/>
    <w:rsid w:val="708E0EFF"/>
    <w:rsid w:val="70D304DB"/>
    <w:rsid w:val="70DB36D8"/>
    <w:rsid w:val="70F51FFE"/>
    <w:rsid w:val="710126B6"/>
    <w:rsid w:val="71047D3C"/>
    <w:rsid w:val="7113383B"/>
    <w:rsid w:val="711A3AEF"/>
    <w:rsid w:val="71387808"/>
    <w:rsid w:val="71412E93"/>
    <w:rsid w:val="71647ABD"/>
    <w:rsid w:val="716672AC"/>
    <w:rsid w:val="71967688"/>
    <w:rsid w:val="71A44910"/>
    <w:rsid w:val="71B616E6"/>
    <w:rsid w:val="71E20A0C"/>
    <w:rsid w:val="72170A18"/>
    <w:rsid w:val="72251116"/>
    <w:rsid w:val="722700EC"/>
    <w:rsid w:val="72274FA4"/>
    <w:rsid w:val="72455907"/>
    <w:rsid w:val="724759DE"/>
    <w:rsid w:val="724E6F6F"/>
    <w:rsid w:val="72591AA5"/>
    <w:rsid w:val="72597CAB"/>
    <w:rsid w:val="726E2F4A"/>
    <w:rsid w:val="72E03356"/>
    <w:rsid w:val="72E16C17"/>
    <w:rsid w:val="72EE7820"/>
    <w:rsid w:val="73046B30"/>
    <w:rsid w:val="730A3DBC"/>
    <w:rsid w:val="73126883"/>
    <w:rsid w:val="7316052E"/>
    <w:rsid w:val="732F5F49"/>
    <w:rsid w:val="734C51A1"/>
    <w:rsid w:val="738C3045"/>
    <w:rsid w:val="73AF33E4"/>
    <w:rsid w:val="73C87D86"/>
    <w:rsid w:val="73F4453F"/>
    <w:rsid w:val="741B69D5"/>
    <w:rsid w:val="74660E8F"/>
    <w:rsid w:val="74727EE8"/>
    <w:rsid w:val="74946E8B"/>
    <w:rsid w:val="74A04575"/>
    <w:rsid w:val="74A544A9"/>
    <w:rsid w:val="74C2167D"/>
    <w:rsid w:val="74D83796"/>
    <w:rsid w:val="74FA64A1"/>
    <w:rsid w:val="75325EF2"/>
    <w:rsid w:val="7536125A"/>
    <w:rsid w:val="7543205F"/>
    <w:rsid w:val="7551049F"/>
    <w:rsid w:val="755F616E"/>
    <w:rsid w:val="75603D7E"/>
    <w:rsid w:val="756F4B4C"/>
    <w:rsid w:val="75817B06"/>
    <w:rsid w:val="75AB7FC6"/>
    <w:rsid w:val="75B444AB"/>
    <w:rsid w:val="75C0462A"/>
    <w:rsid w:val="75D65F80"/>
    <w:rsid w:val="75DD4E75"/>
    <w:rsid w:val="75FD7FE8"/>
    <w:rsid w:val="760B3BA1"/>
    <w:rsid w:val="760B3C89"/>
    <w:rsid w:val="76277B46"/>
    <w:rsid w:val="763114C8"/>
    <w:rsid w:val="76430AA4"/>
    <w:rsid w:val="764A067D"/>
    <w:rsid w:val="766B7874"/>
    <w:rsid w:val="76772D17"/>
    <w:rsid w:val="768C4F15"/>
    <w:rsid w:val="769E5067"/>
    <w:rsid w:val="769E5691"/>
    <w:rsid w:val="76BD75F6"/>
    <w:rsid w:val="76F71F23"/>
    <w:rsid w:val="77017979"/>
    <w:rsid w:val="770B4E68"/>
    <w:rsid w:val="77332862"/>
    <w:rsid w:val="77347AF5"/>
    <w:rsid w:val="77391AA6"/>
    <w:rsid w:val="77414AF5"/>
    <w:rsid w:val="776546D1"/>
    <w:rsid w:val="776910D1"/>
    <w:rsid w:val="776B5ECA"/>
    <w:rsid w:val="777251DF"/>
    <w:rsid w:val="77796C16"/>
    <w:rsid w:val="77851480"/>
    <w:rsid w:val="77A52B64"/>
    <w:rsid w:val="77B02B59"/>
    <w:rsid w:val="77B37243"/>
    <w:rsid w:val="77F065FF"/>
    <w:rsid w:val="78057E51"/>
    <w:rsid w:val="781A041C"/>
    <w:rsid w:val="78433048"/>
    <w:rsid w:val="787B214B"/>
    <w:rsid w:val="78813F0F"/>
    <w:rsid w:val="78824B08"/>
    <w:rsid w:val="7888179A"/>
    <w:rsid w:val="7893796A"/>
    <w:rsid w:val="78A41443"/>
    <w:rsid w:val="78BF2F9F"/>
    <w:rsid w:val="79016A1B"/>
    <w:rsid w:val="79093DAC"/>
    <w:rsid w:val="790A2E97"/>
    <w:rsid w:val="79142267"/>
    <w:rsid w:val="793E6F8C"/>
    <w:rsid w:val="794779F9"/>
    <w:rsid w:val="79754823"/>
    <w:rsid w:val="797632B3"/>
    <w:rsid w:val="797713C3"/>
    <w:rsid w:val="799861ED"/>
    <w:rsid w:val="79A86F3D"/>
    <w:rsid w:val="79C7478C"/>
    <w:rsid w:val="79DB3B24"/>
    <w:rsid w:val="79E2446E"/>
    <w:rsid w:val="79E67FC4"/>
    <w:rsid w:val="79EC64A5"/>
    <w:rsid w:val="7A270EB2"/>
    <w:rsid w:val="7A2C22F8"/>
    <w:rsid w:val="7AAB0E35"/>
    <w:rsid w:val="7AAC2F22"/>
    <w:rsid w:val="7AC073C5"/>
    <w:rsid w:val="7AC80A51"/>
    <w:rsid w:val="7ACF2B88"/>
    <w:rsid w:val="7AD270A1"/>
    <w:rsid w:val="7AF01CF3"/>
    <w:rsid w:val="7B064D68"/>
    <w:rsid w:val="7B333437"/>
    <w:rsid w:val="7B471E31"/>
    <w:rsid w:val="7B8D7F14"/>
    <w:rsid w:val="7BB95525"/>
    <w:rsid w:val="7BF52AE7"/>
    <w:rsid w:val="7C04666E"/>
    <w:rsid w:val="7C3723FB"/>
    <w:rsid w:val="7C5C5E49"/>
    <w:rsid w:val="7C7258D8"/>
    <w:rsid w:val="7C8C70A3"/>
    <w:rsid w:val="7CE26DA4"/>
    <w:rsid w:val="7CF43267"/>
    <w:rsid w:val="7D0E755F"/>
    <w:rsid w:val="7D501526"/>
    <w:rsid w:val="7D6D4FDA"/>
    <w:rsid w:val="7D9B1FEF"/>
    <w:rsid w:val="7DAE0070"/>
    <w:rsid w:val="7DBD69DB"/>
    <w:rsid w:val="7DCE008E"/>
    <w:rsid w:val="7DD244DF"/>
    <w:rsid w:val="7DE35492"/>
    <w:rsid w:val="7DED0E5E"/>
    <w:rsid w:val="7E082C52"/>
    <w:rsid w:val="7E0B70A8"/>
    <w:rsid w:val="7E366456"/>
    <w:rsid w:val="7E380C20"/>
    <w:rsid w:val="7E7578F0"/>
    <w:rsid w:val="7E7D73B8"/>
    <w:rsid w:val="7E8A5FEF"/>
    <w:rsid w:val="7E9F39E2"/>
    <w:rsid w:val="7EB5455D"/>
    <w:rsid w:val="7EE24495"/>
    <w:rsid w:val="7F296A7D"/>
    <w:rsid w:val="7F492DC3"/>
    <w:rsid w:val="7F692318"/>
    <w:rsid w:val="7F81562B"/>
    <w:rsid w:val="7F8F15FF"/>
    <w:rsid w:val="7FA436FB"/>
    <w:rsid w:val="7FBB708D"/>
    <w:rsid w:val="7FD0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1"/>
    <w:basedOn w:val="7"/>
    <w:link w:val="4"/>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semiHidden/>
    <w:qFormat/>
    <w:uiPriority w:val="99"/>
    <w:rPr>
      <w:rFonts w:ascii="Times New Roman" w:hAnsi="Times New Roman" w:cs="Times New Roman"/>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3">
    <w:name w:val="页眉 Char"/>
    <w:semiHidden/>
    <w:qFormat/>
    <w:locked/>
    <w:uiPriority w:val="0"/>
    <w:rPr>
      <w:rFonts w:eastAsia="宋体"/>
      <w:kern w:val="2"/>
      <w:sz w:val="18"/>
      <w:szCs w:val="18"/>
      <w:lang w:val="en-US" w:eastAsia="zh-CN" w:bidi="ar-SA"/>
    </w:rPr>
  </w:style>
  <w:style w:type="paragraph" w:styleId="14">
    <w:name w:val="List Paragraph"/>
    <w:basedOn w:val="1"/>
    <w:qFormat/>
    <w:uiPriority w:val="34"/>
    <w:pPr>
      <w:ind w:firstLine="420" w:firstLineChars="200"/>
    </w:pPr>
  </w:style>
  <w:style w:type="paragraph" w:styleId="15">
    <w:name w:val="No Spacing"/>
    <w:qFormat/>
    <w:uiPriority w:val="1"/>
    <w:rPr>
      <w:rFonts w:ascii="Calibri" w:hAnsi="Calibri" w:eastAsia="宋体" w:cs="Times New Roman"/>
      <w:sz w:val="22"/>
      <w:szCs w:val="22"/>
      <w:lang w:val="en-US" w:eastAsia="zh-CN" w:bidi="ar-SA"/>
    </w:rPr>
  </w:style>
  <w:style w:type="character" w:customStyle="1" w:styleId="16">
    <w:name w:val="font121"/>
    <w:basedOn w:val="7"/>
    <w:qFormat/>
    <w:uiPriority w:val="0"/>
    <w:rPr>
      <w:rFonts w:hint="default" w:ascii="Arial" w:hAnsi="Arial" w:cs="Arial"/>
      <w:color w:val="000000"/>
      <w:sz w:val="22"/>
      <w:szCs w:val="22"/>
      <w:u w:val="none"/>
    </w:rPr>
  </w:style>
  <w:style w:type="character" w:customStyle="1" w:styleId="17">
    <w:name w:val="font71"/>
    <w:basedOn w:val="7"/>
    <w:qFormat/>
    <w:uiPriority w:val="0"/>
    <w:rPr>
      <w:rFonts w:ascii="黑体" w:hAnsi="宋体" w:eastAsia="黑体" w:cs="黑体"/>
      <w:color w:val="000000"/>
      <w:sz w:val="22"/>
      <w:szCs w:val="22"/>
      <w:u w:val="none"/>
    </w:rPr>
  </w:style>
  <w:style w:type="character" w:customStyle="1" w:styleId="18">
    <w:name w:val="font61"/>
    <w:basedOn w:val="7"/>
    <w:qFormat/>
    <w:uiPriority w:val="0"/>
    <w:rPr>
      <w:rFonts w:hint="default" w:ascii="Arial" w:hAnsi="Arial" w:cs="Arial"/>
      <w:color w:val="000000"/>
      <w:sz w:val="22"/>
      <w:szCs w:val="22"/>
      <w:u w:val="none"/>
    </w:rPr>
  </w:style>
  <w:style w:type="character" w:customStyle="1" w:styleId="19">
    <w:name w:val="font13"/>
    <w:basedOn w:val="7"/>
    <w:qFormat/>
    <w:uiPriority w:val="0"/>
    <w:rPr>
      <w:rFonts w:hint="eastAsia" w:ascii="黑体" w:hAnsi="宋体" w:eastAsia="黑体" w:cs="黑体"/>
      <w:color w:val="000000"/>
      <w:sz w:val="22"/>
      <w:szCs w:val="22"/>
      <w:u w:val="none"/>
    </w:rPr>
  </w:style>
  <w:style w:type="character" w:customStyle="1" w:styleId="20">
    <w:name w:val="font132"/>
    <w:basedOn w:val="7"/>
    <w:qFormat/>
    <w:uiPriority w:val="0"/>
    <w:rPr>
      <w:rFonts w:hint="eastAsia" w:ascii="宋体" w:hAnsi="宋体" w:eastAsia="宋体" w:cs="宋体"/>
      <w:color w:val="000000"/>
      <w:sz w:val="22"/>
      <w:szCs w:val="22"/>
      <w:u w:val="none"/>
    </w:rPr>
  </w:style>
  <w:style w:type="character" w:customStyle="1" w:styleId="21">
    <w:name w:val="font51"/>
    <w:basedOn w:val="7"/>
    <w:qFormat/>
    <w:uiPriority w:val="0"/>
    <w:rPr>
      <w:rFonts w:hint="eastAsia" w:ascii="等线" w:hAnsi="等线" w:eastAsia="等线" w:cs="等线"/>
      <w:color w:val="000000"/>
      <w:sz w:val="22"/>
      <w:szCs w:val="22"/>
      <w:u w:val="none"/>
    </w:rPr>
  </w:style>
  <w:style w:type="character" w:customStyle="1" w:styleId="22">
    <w:name w:val="font81"/>
    <w:basedOn w:val="7"/>
    <w:qFormat/>
    <w:uiPriority w:val="0"/>
    <w:rPr>
      <w:rFonts w:hint="eastAsia" w:ascii="等线" w:hAnsi="等线" w:eastAsia="等线" w:cs="等线"/>
      <w:color w:val="C65911"/>
      <w:sz w:val="22"/>
      <w:szCs w:val="22"/>
      <w:u w:val="none"/>
    </w:rPr>
  </w:style>
  <w:style w:type="character" w:customStyle="1" w:styleId="23">
    <w:name w:val="font41"/>
    <w:basedOn w:val="7"/>
    <w:qFormat/>
    <w:uiPriority w:val="0"/>
    <w:rPr>
      <w:rFonts w:hint="default" w:ascii="Arial" w:hAnsi="Arial" w:cs="Arial"/>
      <w:color w:val="000000"/>
      <w:sz w:val="22"/>
      <w:szCs w:val="22"/>
      <w:u w:val="none"/>
    </w:rPr>
  </w:style>
  <w:style w:type="character" w:customStyle="1" w:styleId="24">
    <w:name w:val="font11"/>
    <w:basedOn w:val="7"/>
    <w:qFormat/>
    <w:uiPriority w:val="0"/>
    <w:rPr>
      <w:rFonts w:ascii="黑体" w:hAnsi="宋体" w:eastAsia="黑体" w:cs="黑体"/>
      <w:color w:val="000000"/>
      <w:sz w:val="22"/>
      <w:szCs w:val="22"/>
      <w:u w:val="none"/>
    </w:rPr>
  </w:style>
  <w:style w:type="character" w:customStyle="1" w:styleId="25">
    <w:name w:val="font112"/>
    <w:basedOn w:val="7"/>
    <w:qFormat/>
    <w:uiPriority w:val="0"/>
    <w:rPr>
      <w:rFonts w:hint="eastAsia" w:ascii="等线" w:hAnsi="等线" w:eastAsia="等线" w:cs="等线"/>
      <w:color w:val="000000"/>
      <w:sz w:val="22"/>
      <w:szCs w:val="22"/>
      <w:u w:val="none"/>
    </w:rPr>
  </w:style>
  <w:style w:type="character" w:customStyle="1" w:styleId="26">
    <w:name w:val="font31"/>
    <w:basedOn w:val="7"/>
    <w:qFormat/>
    <w:uiPriority w:val="0"/>
    <w:rPr>
      <w:rFonts w:hint="eastAsia" w:ascii="等线" w:hAnsi="等线" w:eastAsia="等线" w:cs="等线"/>
      <w:color w:val="000000"/>
      <w:sz w:val="21"/>
      <w:szCs w:val="21"/>
      <w:u w:val="none"/>
    </w:rPr>
  </w:style>
  <w:style w:type="character" w:customStyle="1" w:styleId="27">
    <w:name w:val="font21"/>
    <w:basedOn w:val="7"/>
    <w:qFormat/>
    <w:uiPriority w:val="0"/>
    <w:rPr>
      <w:rFonts w:hint="eastAsia" w:ascii="等线" w:hAnsi="等线" w:eastAsia="等线" w:cs="等线"/>
      <w:color w:val="000000"/>
      <w:sz w:val="20"/>
      <w:szCs w:val="20"/>
      <w:u w:val="none"/>
    </w:rPr>
  </w:style>
  <w:style w:type="character" w:customStyle="1" w:styleId="28">
    <w:name w:val="fontstyle01"/>
    <w:basedOn w:val="7"/>
    <w:qFormat/>
    <w:uiPriority w:val="0"/>
    <w:rPr>
      <w:rFonts w:ascii="宋体" w:hAnsi="宋体" w:eastAsia="宋体" w:cs="宋体"/>
      <w:color w:val="000000"/>
      <w:sz w:val="36"/>
      <w:szCs w:val="36"/>
    </w:rPr>
  </w:style>
  <w:style w:type="character" w:customStyle="1" w:styleId="29">
    <w:name w:val="fontstyle11"/>
    <w:basedOn w:val="7"/>
    <w:qFormat/>
    <w:uiPriority w:val="0"/>
    <w:rPr>
      <w:rFonts w:ascii="Calibri-Bold" w:hAnsi="Calibri-Bold" w:eastAsia="Calibri-Bold" w:cs="Calibri-Bold"/>
      <w:b/>
      <w:bCs/>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0C419-780F-41F6-8977-5F979683643C}">
  <ds:schemaRefs/>
</ds:datastoreItem>
</file>

<file path=docProps/app.xml><?xml version="1.0" encoding="utf-8"?>
<Properties xmlns="http://schemas.openxmlformats.org/officeDocument/2006/extended-properties" xmlns:vt="http://schemas.openxmlformats.org/officeDocument/2006/docPropsVTypes">
  <Template>Normal</Template>
  <Pages>13</Pages>
  <Words>11430</Words>
  <Characters>14050</Characters>
  <Lines>14</Lines>
  <Paragraphs>4</Paragraphs>
  <TotalTime>202</TotalTime>
  <ScaleCrop>false</ScaleCrop>
  <LinksUpToDate>false</LinksUpToDate>
  <CharactersWithSpaces>14187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2018-08-21T02:45:00Z</dcterms:created>
  <dc:creator>丁再山</dc:creator>
  <cp:lastModifiedBy>ASUS</cp:lastModifiedBy>
  <cp:lastPrinted>2020-04-02T03:13:00Z</cp:lastPrinted>
  <dcterms:modified xsi:type="dcterms:W3CDTF">2021-06-02T06:56:39Z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DF952448B10340E7B8FDEA3E736A653A</vt:lpwstr>
  </property>
</Properties>
</file>