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9-202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7777777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孙建怀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9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77777777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6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孙建怀、杨帆、赵挺云、杨仕海、毛奕清、陆新宝、阿地里、孙伟锋、高俊杰、郑跃玲、王放、孔庆站、苗健、柳世旭、赵蔚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9CFF503" w14:textId="323D92DD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年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日，炼油二部召开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例会，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专业负责人组织学习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茂名石化公司3.15爆炸事故报告和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上海石化公司 5·29 爆燃事故报告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日周月检、高风险作业等工作开展情况以及技术月报材料进行总结汇报。孙部长对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两起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事故报告做了点评，指出大多数事故都是发生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在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装置开停工、检维修期间，因为在这期间存在大量的操作变动和施工作业，尤其是交叉作业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高处作业审批要受控，权限不能轻易下放，票证填写要规范，各级签字不能走形式，要组织人员从专业管理和自身岗位出发进行学习讨论，深入分析事故原因，各岗位要有职责意识，安全生产是有追溯性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的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，强调事故对个人，对家庭造成的伤害是不能挽回的。同时对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专业工作进行点评并对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工作提出具体要求，会议纪要如下：</w:t>
            </w:r>
          </w:p>
          <w:p w14:paraId="09F718BC" w14:textId="77777777" w:rsidR="00FA1D19" w:rsidRDefault="00E24D13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疫情期间合理控制好装置现场的高风险作业量，要保证作业计划受控，作业过程受控。监护高风险作业的工作，要做到班组人员及时补位，未取证的主动找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部办班培训。</w:t>
            </w:r>
          </w:p>
          <w:p w14:paraId="677C90F4" w14:textId="4E314756" w:rsidR="00FA1D19" w:rsidRDefault="00E24D1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要对副班学习情况进行抽查提问，保证学习质量，包括应急演练也要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继续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开展，要通过应急演练形成条件反射，通过反复的强化培训提高应急处置能力。</w:t>
            </w:r>
          </w:p>
          <w:p w14:paraId="30D1C45F" w14:textId="77777777" w:rsidR="00FA1D19" w:rsidRDefault="00E24D1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施工作业要严格执行好相关票证制度，监护过程中检查的票证问题要分析原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lastRenderedPageBreak/>
              <w:t>因，各专业切实履行好各自责任，保证作业安全受控。</w:t>
            </w:r>
          </w:p>
          <w:p w14:paraId="7A674148" w14:textId="4DD5532C" w:rsidR="00FA1D19" w:rsidRDefault="00E24D1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各专业管理人员要清楚日周月检的重要性</w:t>
            </w:r>
            <w:r w:rsidR="0095691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日常工作能有效</w:t>
            </w:r>
            <w:r w:rsidR="0095691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地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把隐患消灭在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萌芽状态，进而避免事故的发生；要对照检查问题，查找不足，反思问题。</w:t>
            </w:r>
          </w:p>
          <w:p w14:paraId="66406003" w14:textId="595C1A5C" w:rsidR="00FA1D19" w:rsidRDefault="00E24D1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新入职员工</w:t>
            </w:r>
            <w:r w:rsidR="0095691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的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安全意识还比较差，在没有取得上岗证前不能独立操作，各专业制定好培训计划，安排好带徒师父。</w:t>
            </w:r>
          </w:p>
          <w:p w14:paraId="4EB052D8" w14:textId="3D6C1988" w:rsidR="00FA1D19" w:rsidRDefault="00E24D1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疫情期间</w:t>
            </w:r>
            <w:r w:rsidR="0095691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各项工作更不能放松要求、降低标准、放任不管、甚至出现放飞自我的情况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，要</w:t>
            </w:r>
            <w:r w:rsidR="0040150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时刻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保持警惕性，加强职责落实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5D66F6B1" w14:textId="4FA4F420" w:rsidR="00FA1D19" w:rsidRDefault="00E24D1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空呼气瓶安全阀</w:t>
            </w:r>
            <w:r w:rsidR="006E43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爆破片质量问题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和装置噪音未按期检测的情况要在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部的例会上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进行反应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06364EF0" w14:textId="1716D362" w:rsidR="006E4355" w:rsidRDefault="006E4355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继续落实好现场静电接地问题的排查和跟踪。</w:t>
            </w:r>
          </w:p>
          <w:p w14:paraId="5212D66A" w14:textId="77777777" w:rsidR="00FA1D19" w:rsidRDefault="00FA1D19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</w:p>
          <w:p w14:paraId="37B892D9" w14:textId="77777777" w:rsidR="00FA1D19" w:rsidRDefault="00FA1D19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</w:p>
          <w:p w14:paraId="3EE66FB7" w14:textId="77777777" w:rsidR="00FA1D19" w:rsidRDefault="00FA1D19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E9DF" w14:textId="77777777" w:rsidR="00BF7B7B" w:rsidRDefault="00BF7B7B">
      <w:r>
        <w:separator/>
      </w:r>
    </w:p>
  </w:endnote>
  <w:endnote w:type="continuationSeparator" w:id="0">
    <w:p w14:paraId="04A402C7" w14:textId="77777777" w:rsidR="00BF7B7B" w:rsidRDefault="00BF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D5B6" w14:textId="77777777" w:rsidR="00BF7B7B" w:rsidRDefault="00BF7B7B">
      <w:r>
        <w:separator/>
      </w:r>
    </w:p>
  </w:footnote>
  <w:footnote w:type="continuationSeparator" w:id="0">
    <w:p w14:paraId="248ED0E2" w14:textId="77777777" w:rsidR="00BF7B7B" w:rsidRDefault="00BF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A17AA"/>
    <w:rsid w:val="000B243F"/>
    <w:rsid w:val="000C59AB"/>
    <w:rsid w:val="001332CC"/>
    <w:rsid w:val="001A51A8"/>
    <w:rsid w:val="001C7943"/>
    <w:rsid w:val="001F6EA8"/>
    <w:rsid w:val="00203BC9"/>
    <w:rsid w:val="00254C57"/>
    <w:rsid w:val="00257B65"/>
    <w:rsid w:val="002638D3"/>
    <w:rsid w:val="002A2B97"/>
    <w:rsid w:val="002B1992"/>
    <w:rsid w:val="002C317F"/>
    <w:rsid w:val="002C3AD0"/>
    <w:rsid w:val="00304106"/>
    <w:rsid w:val="0030534B"/>
    <w:rsid w:val="00316317"/>
    <w:rsid w:val="00320498"/>
    <w:rsid w:val="003312F3"/>
    <w:rsid w:val="00363CEF"/>
    <w:rsid w:val="00396899"/>
    <w:rsid w:val="003C470E"/>
    <w:rsid w:val="003D5285"/>
    <w:rsid w:val="00401500"/>
    <w:rsid w:val="00406120"/>
    <w:rsid w:val="00414D37"/>
    <w:rsid w:val="0043398A"/>
    <w:rsid w:val="00495A9B"/>
    <w:rsid w:val="004A1126"/>
    <w:rsid w:val="004E69A5"/>
    <w:rsid w:val="004E76A5"/>
    <w:rsid w:val="005415E6"/>
    <w:rsid w:val="0056681B"/>
    <w:rsid w:val="00591698"/>
    <w:rsid w:val="005C4427"/>
    <w:rsid w:val="005C58AC"/>
    <w:rsid w:val="005C724D"/>
    <w:rsid w:val="00631B12"/>
    <w:rsid w:val="00672539"/>
    <w:rsid w:val="006A3DEF"/>
    <w:rsid w:val="006E4355"/>
    <w:rsid w:val="00763706"/>
    <w:rsid w:val="007655F7"/>
    <w:rsid w:val="007905AD"/>
    <w:rsid w:val="007978A5"/>
    <w:rsid w:val="007D44D8"/>
    <w:rsid w:val="0080303D"/>
    <w:rsid w:val="00806304"/>
    <w:rsid w:val="00824C81"/>
    <w:rsid w:val="00836F9D"/>
    <w:rsid w:val="00864BE0"/>
    <w:rsid w:val="008A6C7F"/>
    <w:rsid w:val="008D6DBD"/>
    <w:rsid w:val="008F317D"/>
    <w:rsid w:val="008F4655"/>
    <w:rsid w:val="0092019D"/>
    <w:rsid w:val="00945107"/>
    <w:rsid w:val="00956919"/>
    <w:rsid w:val="00962421"/>
    <w:rsid w:val="0098574C"/>
    <w:rsid w:val="009D1CEA"/>
    <w:rsid w:val="009F2D04"/>
    <w:rsid w:val="009F4422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47246"/>
    <w:rsid w:val="00BC438B"/>
    <w:rsid w:val="00BD25C3"/>
    <w:rsid w:val="00BF7B7B"/>
    <w:rsid w:val="00C75AA7"/>
    <w:rsid w:val="00D15518"/>
    <w:rsid w:val="00D3467E"/>
    <w:rsid w:val="00D444F6"/>
    <w:rsid w:val="00D66384"/>
    <w:rsid w:val="00DD3E35"/>
    <w:rsid w:val="00E0564A"/>
    <w:rsid w:val="00E24D13"/>
    <w:rsid w:val="00EA3612"/>
    <w:rsid w:val="00EC7640"/>
    <w:rsid w:val="00EF36C8"/>
    <w:rsid w:val="00F23CC5"/>
    <w:rsid w:val="00F321E6"/>
    <w:rsid w:val="00F33CBC"/>
    <w:rsid w:val="00F65AF1"/>
    <w:rsid w:val="00FA1D19"/>
    <w:rsid w:val="00FA6795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3</cp:revision>
  <cp:lastPrinted>2020-08-04T03:07:00Z</cp:lastPrinted>
  <dcterms:created xsi:type="dcterms:W3CDTF">2021-09-07T06:05:00Z</dcterms:created>
  <dcterms:modified xsi:type="dcterms:W3CDTF">2021-09-07T06:08:00Z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