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恒逸实业（文莱）有限公司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 Industries Sdn Bhd</w:t>
            </w:r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9-202</w:t>
            </w:r>
            <w:r>
              <w:rPr>
                <w:rFonts w:ascii="Arial" w:eastAsia="黑体" w:hAnsi="Arial" w:cs="Arial"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77777777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EndPr/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57FF4832" w:rsidR="00FA1D19" w:rsidRDefault="00A16A64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杨帆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085D1F6F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2021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A16A64">
              <w:rPr>
                <w:rFonts w:ascii="Arial Unicode MS" w:hAnsi="Arial Unicode MS"/>
                <w:sz w:val="21"/>
                <w:szCs w:val="21"/>
              </w:rPr>
              <w:t>11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A16A64">
              <w:rPr>
                <w:rFonts w:ascii="Arial Unicode MS" w:hAnsi="Arial Unicode MS"/>
                <w:sz w:val="21"/>
                <w:szCs w:val="21"/>
              </w:rPr>
              <w:t>8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77777777" w:rsidR="00FA1D19" w:rsidRDefault="00E24D13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77777777" w:rsidR="00FA1D19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</w:p>
          <w:p w14:paraId="523F1E76" w14:textId="55D70699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A16A64">
              <w:rPr>
                <w:rFonts w:ascii="Arial Unicode MS" w:eastAsia="仿宋_GB2312" w:hAnsi="Arial Unicode MS"/>
                <w:bCs/>
                <w:sz w:val="21"/>
                <w:szCs w:val="21"/>
              </w:rPr>
              <w:t>11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A16A64">
              <w:rPr>
                <w:rFonts w:ascii="Arial Unicode MS" w:eastAsia="仿宋_GB2312" w:hAnsi="Arial Unicode MS"/>
                <w:bCs/>
                <w:sz w:val="21"/>
                <w:szCs w:val="21"/>
              </w:rPr>
              <w:t>9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6F0688D8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孙建怀、赵挺云、</w:t>
            </w:r>
            <w:r w:rsidR="005B102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杨帆、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杨仕海、毛奕清、陆新宝、</w:t>
            </w:r>
            <w:r w:rsidR="00A16A6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李文涛、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阿地里、孙伟锋、高俊杰、郑跃玲、王放、孔庆站、苗健、柳世旭、</w:t>
            </w:r>
            <w:r w:rsidR="00A16A6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江志宁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09CFF503" w14:textId="29EB4B2A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2021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年</w:t>
            </w:r>
            <w:r w:rsidR="00A16A64">
              <w:rPr>
                <w:rFonts w:ascii="Arial Unicode MS" w:eastAsia="仿宋_GB2312" w:hAnsi="Arial Unicode MS"/>
                <w:bCs/>
                <w:sz w:val="24"/>
                <w:szCs w:val="24"/>
              </w:rPr>
              <w:t>11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</w:t>
            </w:r>
            <w:r w:rsidR="00A16A64">
              <w:rPr>
                <w:rFonts w:ascii="Arial Unicode MS" w:eastAsia="仿宋_GB2312" w:hAnsi="Arial Unicode MS"/>
                <w:bCs/>
                <w:sz w:val="24"/>
                <w:szCs w:val="24"/>
              </w:rPr>
              <w:t>8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日，炼油二部召开</w:t>
            </w:r>
            <w:r w:rsidR="00A16A64">
              <w:rPr>
                <w:rFonts w:ascii="Arial Unicode MS" w:eastAsia="仿宋_GB2312" w:hAnsi="Arial Unicode MS"/>
                <w:bCs/>
                <w:sz w:val="24"/>
                <w:szCs w:val="24"/>
              </w:rPr>
              <w:t>10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月份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例会，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专业负责人组织学习</w:t>
            </w:r>
            <w:r w:rsidR="000E5D6C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视频《</w:t>
            </w:r>
            <w:r w:rsidR="000E5D6C" w:rsidRPr="000E5D6C">
              <w:rPr>
                <w:rFonts w:ascii="仿宋" w:eastAsia="仿宋" w:hAnsi="仿宋" w:cs="仿宋" w:hint="eastAsia"/>
                <w:sz w:val="24"/>
                <w:szCs w:val="24"/>
              </w:rPr>
              <w:t>防御性安全驾驶</w:t>
            </w:r>
            <w:r w:rsidR="000E5D6C">
              <w:rPr>
                <w:rFonts w:ascii="仿宋" w:eastAsia="仿宋" w:hAnsi="仿宋" w:cs="仿宋" w:hint="eastAsia"/>
                <w:sz w:val="24"/>
                <w:szCs w:val="24"/>
              </w:rPr>
              <w:t>》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对</w:t>
            </w:r>
            <w:r w:rsidR="00FB28F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日周月检、高风险作业等工作开展情况以及技术月报材料进行总结汇报。孙部长对</w:t>
            </w:r>
            <w:r w:rsidR="00D3446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安全驾驶问题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做了点评，指出</w:t>
            </w:r>
            <w:r w:rsidR="00D3446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随着公司、部门私家车辆增多，</w:t>
            </w:r>
            <w:r w:rsidR="0039034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开快车，不注意路况现象导致车祸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</w:t>
            </w:r>
            <w:r w:rsidR="0039034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尤其提醒各位司机，开车不喝酒，酒后不开车，这是触犯法律的事。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同时对</w:t>
            </w:r>
            <w:r w:rsidR="007655F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专业工作进行点评并对</w:t>
            </w:r>
            <w:r w:rsidR="00390344">
              <w:rPr>
                <w:rFonts w:ascii="Arial Unicode MS" w:eastAsia="仿宋_GB2312" w:hAnsi="Arial Unicode MS"/>
                <w:bCs/>
                <w:sz w:val="24"/>
                <w:szCs w:val="24"/>
              </w:rPr>
              <w:t>1</w:t>
            </w:r>
            <w:r w:rsidR="005B102B">
              <w:rPr>
                <w:rFonts w:ascii="Arial Unicode MS" w:eastAsia="仿宋_GB2312" w:hAnsi="Arial Unicode MS"/>
                <w:bCs/>
                <w:sz w:val="24"/>
                <w:szCs w:val="24"/>
              </w:rPr>
              <w:t>1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月份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工作提出具体要求，会议纪要如下：</w:t>
            </w:r>
          </w:p>
          <w:p w14:paraId="790CEC03" w14:textId="170F55F2" w:rsidR="005B102B" w:rsidRPr="005B102B" w:rsidRDefault="002C274F" w:rsidP="005B102B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 w:rsidRPr="005B102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防疫工作</w:t>
            </w:r>
            <w:r w:rsidR="005B102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仍是目前工作的重点，</w:t>
            </w:r>
            <w:r w:rsidRPr="005B102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由</w:t>
            </w:r>
            <w:r w:rsidRPr="005B102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</w:t>
            </w:r>
            <w:r w:rsidRPr="005B102B">
              <w:rPr>
                <w:rFonts w:ascii="Arial Unicode MS" w:eastAsia="仿宋_GB2312" w:hAnsi="Arial Unicode MS"/>
                <w:bCs/>
                <w:sz w:val="24"/>
                <w:szCs w:val="24"/>
              </w:rPr>
              <w:t>SE</w:t>
            </w:r>
            <w:r w:rsidRPr="005B102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专业牵头，</w:t>
            </w:r>
            <w:r w:rsidR="005B102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包括</w:t>
            </w:r>
            <w:r w:rsidR="001361C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人员</w:t>
            </w:r>
            <w:r w:rsidRPr="005B102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佩戴口罩、人员外出等管理，</w:t>
            </w:r>
            <w:r w:rsidR="001361C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周日人员未经批准私自外出事件</w:t>
            </w:r>
            <w:r w:rsidR="005B102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足以说明部门的管理工作还存在较大漏洞。</w:t>
            </w:r>
            <w:r w:rsidRPr="005B102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深层次来说还是要靠自身的自律，</w:t>
            </w:r>
            <w:r w:rsidR="00067C5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对法律法规要有敬畏之心；</w:t>
            </w:r>
            <w:r w:rsidR="000A6958" w:rsidRPr="005B102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同时</w:t>
            </w:r>
            <w:r w:rsidRPr="005B102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网格化管理不能流于形式，自律和管理要结合起来。</w:t>
            </w:r>
          </w:p>
          <w:p w14:paraId="677C90F4" w14:textId="471F99EA" w:rsidR="00FA1D19" w:rsidRPr="005B102B" w:rsidRDefault="00E3244F" w:rsidP="005B102B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 w:rsidRPr="005B102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1</w:t>
            </w:r>
            <w:r w:rsidRPr="005B102B">
              <w:rPr>
                <w:rFonts w:ascii="Arial Unicode MS" w:eastAsia="仿宋_GB2312" w:hAnsi="Arial Unicode MS"/>
                <w:bCs/>
                <w:sz w:val="24"/>
                <w:szCs w:val="24"/>
              </w:rPr>
              <w:t>0</w:t>
            </w:r>
            <w:r w:rsidRPr="005B102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</w:t>
            </w:r>
            <w:r w:rsidR="001361C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份</w:t>
            </w:r>
            <w:r w:rsidRPr="005B102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国内事故不断，本公司有电站事故，雷击事故等，</w:t>
            </w:r>
            <w:r w:rsidR="003542C0" w:rsidRPr="005B102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部门内部也出现了人员受伤未遂事件，提醒各位管理人员，工作中要有如履薄冰的敬畏之心，齐抓共管，</w:t>
            </w:r>
            <w:r w:rsidR="00067C5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利用公司“查隐患保安全”的长效奖励机制，把事故苗头消灭在萌芽状态，保证装置安全平稳运行。</w:t>
            </w:r>
          </w:p>
          <w:p w14:paraId="30D1C45F" w14:textId="616B986B" w:rsidR="00FA1D19" w:rsidRPr="004A5C30" w:rsidRDefault="00DC4B61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 w:rsidRPr="00B41C4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各类培训</w:t>
            </w:r>
            <w:r w:rsidR="00067C5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目前以</w:t>
            </w:r>
            <w:r w:rsidRPr="00B41C4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网络视频进行，特别是文莱同事的培训如何保证效果</w:t>
            </w:r>
            <w:r w:rsidR="00B41C41" w:rsidRPr="00B41C4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，教育培训效果验证要跟上，复工以后各项技能包括</w:t>
            </w:r>
            <w:r w:rsidR="00B41C41" w:rsidRPr="004A5C3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安全技能水平必须跟上</w:t>
            </w:r>
            <w:r w:rsidR="00E24D13" w:rsidRPr="004A5C3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</w:t>
            </w:r>
          </w:p>
          <w:p w14:paraId="7A674148" w14:textId="7F4217F9" w:rsidR="00FA1D19" w:rsidRPr="004A5C30" w:rsidRDefault="00B41C41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 w:rsidRPr="004A5C3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lastRenderedPageBreak/>
              <w:t>应急演练每月都在进行，暴露出</w:t>
            </w:r>
            <w:r w:rsidR="006B26D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较</w:t>
            </w:r>
            <w:r w:rsidRPr="004A5C3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多细节问题，如</w:t>
            </w:r>
            <w:r w:rsidR="00875A1C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何</w:t>
            </w:r>
            <w:r w:rsidRPr="004A5C3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有效改进</w:t>
            </w:r>
            <w:r w:rsidR="000545C2" w:rsidRPr="004A5C3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是我们</w:t>
            </w:r>
            <w:r w:rsidR="006B26D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需要</w:t>
            </w:r>
            <w:r w:rsidR="000545C2" w:rsidRPr="004A5C3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思考的内容，演练要以班</w:t>
            </w:r>
            <w:r w:rsidR="00DF313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组</w:t>
            </w:r>
            <w:r w:rsidR="000545C2" w:rsidRPr="004A5C3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为主导</w:t>
            </w:r>
            <w:r w:rsidR="00E940F6" w:rsidRPr="004A5C3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，</w:t>
            </w:r>
            <w:r w:rsidR="00D4077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充分</w:t>
            </w:r>
            <w:r w:rsidR="00DF313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暴露问题，</w:t>
            </w:r>
            <w:r w:rsidR="00E940F6" w:rsidRPr="004A5C3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真正做到响和应，每次演练必须反馈到部长和管理人员，并形成互动</w:t>
            </w:r>
            <w:r w:rsidR="006B26D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，</w:t>
            </w:r>
            <w:r w:rsidR="005044EE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安全专业要全面参与</w:t>
            </w:r>
            <w:r w:rsidR="00E24D13" w:rsidRPr="004A5C3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</w:t>
            </w:r>
          </w:p>
          <w:p w14:paraId="66406003" w14:textId="6D7DA0D8" w:rsidR="00FA1D19" w:rsidRPr="004A5C30" w:rsidRDefault="004A5C30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 w:rsidRPr="004A5C3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P</w:t>
            </w:r>
            <w:r w:rsidRPr="004A5C30">
              <w:rPr>
                <w:rFonts w:ascii="Arial Unicode MS" w:eastAsia="仿宋_GB2312" w:hAnsi="Arial Unicode MS"/>
                <w:bCs/>
                <w:sz w:val="24"/>
                <w:szCs w:val="24"/>
              </w:rPr>
              <w:t>PE</w:t>
            </w:r>
            <w:r w:rsidRPr="004A5C3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佩戴，防护眼镜</w:t>
            </w:r>
            <w:r w:rsidR="00D4077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的</w:t>
            </w:r>
            <w:r w:rsidRPr="004A5C3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佩戴，管理人员</w:t>
            </w:r>
            <w:r w:rsidR="00D4077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要</w:t>
            </w:r>
            <w:r w:rsidRPr="004A5C3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以身作则</w:t>
            </w:r>
            <w:r w:rsidR="006B26D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；</w:t>
            </w:r>
            <w:r w:rsidRPr="004A5C3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现场安全标识，提示卡再次</w:t>
            </w:r>
            <w:r w:rsidR="00D4077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梳理检查</w:t>
            </w:r>
            <w:r w:rsidRPr="004A5C3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。操作指令要求书面化，要签名留痕迹。</w:t>
            </w:r>
          </w:p>
          <w:p w14:paraId="4EB052D8" w14:textId="0DC6AD3F" w:rsidR="00FA1D19" w:rsidRPr="004A5C30" w:rsidRDefault="004A5C30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 w:rsidRPr="004A5C3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高风险作业计划</w:t>
            </w:r>
            <w:r w:rsidR="005044EE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确保严肃性、准确性，经主管</w:t>
            </w:r>
            <w:r w:rsidRPr="004A5C3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领导审批</w:t>
            </w:r>
            <w:r w:rsidR="005044EE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后</w:t>
            </w:r>
            <w:r w:rsidRPr="004A5C3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再上报</w:t>
            </w:r>
            <w:r w:rsidR="005044EE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，</w:t>
            </w:r>
            <w:r w:rsidRPr="004A5C3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尽量减少报而</w:t>
            </w:r>
            <w:r w:rsidR="00875A1C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未动工</w:t>
            </w:r>
            <w:r w:rsidRPr="004A5C3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的现象。</w:t>
            </w:r>
          </w:p>
          <w:p w14:paraId="5D66F6B1" w14:textId="2849CC8D" w:rsidR="00FA1D19" w:rsidRPr="00F5312A" w:rsidRDefault="004A5C30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 w:rsidRPr="0076752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查隐患保安全活动，各班参与度偏差很大，</w:t>
            </w:r>
            <w:r w:rsidR="00767527" w:rsidRPr="0076752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加裂三班多人获奖，加氢二班在</w:t>
            </w:r>
            <w:r w:rsidR="00767527" w:rsidRPr="0076752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4</w:t>
            </w:r>
            <w:r w:rsidR="00767527" w:rsidRPr="00767527">
              <w:rPr>
                <w:rFonts w:ascii="Arial Unicode MS" w:eastAsia="仿宋_GB2312" w:hAnsi="Arial Unicode MS"/>
                <w:bCs/>
                <w:sz w:val="24"/>
                <w:szCs w:val="24"/>
              </w:rPr>
              <w:t>-7</w:t>
            </w:r>
            <w:r w:rsidR="00767527" w:rsidRPr="0076752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</w:t>
            </w:r>
            <w:r w:rsidR="00767527" w:rsidRPr="00F5312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中没有发现一起隐患，</w:t>
            </w:r>
            <w:r w:rsidRPr="00F5312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体现出</w:t>
            </w:r>
            <w:r w:rsidR="005044EE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各</w:t>
            </w:r>
            <w:r w:rsidRPr="00F5312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班组</w:t>
            </w:r>
            <w:r w:rsidR="00D4077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日常</w:t>
            </w:r>
            <w:r w:rsidR="00767527" w:rsidRPr="00F5312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管理力度和凝聚力</w:t>
            </w:r>
            <w:r w:rsidR="005044EE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的差异</w:t>
            </w:r>
            <w:r w:rsidR="00D4077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，要</w:t>
            </w:r>
            <w:r w:rsidR="006B26D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多点开花，不能一枝独秀，</w:t>
            </w:r>
            <w:r w:rsidR="005044EE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确保各班组齐头并进，</w:t>
            </w:r>
            <w:r w:rsidR="00D4077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提升</w:t>
            </w:r>
            <w:r w:rsidR="006B26D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各</w:t>
            </w:r>
            <w:r w:rsidR="00D4077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班组的整体实力</w:t>
            </w:r>
            <w:r w:rsidR="00E24D13" w:rsidRPr="00F5312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</w:t>
            </w:r>
          </w:p>
          <w:p w14:paraId="2E6B1D0D" w14:textId="58497937" w:rsidR="00034CA3" w:rsidRPr="00F5312A" w:rsidRDefault="00034CA3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月度总结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P</w:t>
            </w:r>
            <w:r>
              <w:rPr>
                <w:rFonts w:ascii="Arial Unicode MS" w:eastAsia="仿宋_GB2312" w:hAnsi="Arial Unicode MS"/>
                <w:bCs/>
                <w:sz w:val="24"/>
                <w:szCs w:val="24"/>
              </w:rPr>
              <w:t>PT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要</w:t>
            </w:r>
            <w:r w:rsidR="006B26D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重点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分析日周月检情况，每班发现多少项问题，考核多少项问题进行深入分析</w:t>
            </w:r>
            <w:r w:rsidR="006B26D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，盯住短板，擅于剖析，提升部门的</w:t>
            </w:r>
            <w:r w:rsidR="006B26D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 w:rsidR="006B26D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管理能力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。</w:t>
            </w:r>
          </w:p>
          <w:p w14:paraId="5212D66A" w14:textId="77777777" w:rsidR="00FA1D19" w:rsidRDefault="00FA1D19">
            <w:pPr>
              <w:pStyle w:val="a7"/>
              <w:spacing w:line="360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</w:p>
          <w:p w14:paraId="37B892D9" w14:textId="77777777" w:rsidR="00FA1D19" w:rsidRDefault="00FA1D19">
            <w:pPr>
              <w:pStyle w:val="a7"/>
              <w:spacing w:line="360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</w:p>
          <w:p w14:paraId="3EE66FB7" w14:textId="77777777" w:rsidR="00FA1D19" w:rsidRDefault="00FA1D19">
            <w:pPr>
              <w:pStyle w:val="a7"/>
              <w:spacing w:line="360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>
      <w:footerReference w:type="default" r:id="rId9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2AF6A" w14:textId="77777777" w:rsidR="00D46CEC" w:rsidRDefault="00D46CEC">
      <w:r>
        <w:separator/>
      </w:r>
    </w:p>
  </w:endnote>
  <w:endnote w:type="continuationSeparator" w:id="0">
    <w:p w14:paraId="70DE32F1" w14:textId="77777777" w:rsidR="00D46CEC" w:rsidRDefault="00D4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r>
      <w:rPr>
        <w:rFonts w:asciiTheme="minorEastAsia" w:hAnsiTheme="minorEastAsia" w:cstheme="minorEastAsia" w:hint="eastAsia"/>
        <w:sz w:val="21"/>
        <w:szCs w:val="21"/>
      </w:rPr>
      <w:t>恒逸实业（文莱）有限公司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Hengyi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>Industries Sdn Bhd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EndPr/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EndPr/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4270" w14:textId="77777777" w:rsidR="00D46CEC" w:rsidRDefault="00D46CEC">
      <w:r>
        <w:separator/>
      </w:r>
    </w:p>
  </w:footnote>
  <w:footnote w:type="continuationSeparator" w:id="0">
    <w:p w14:paraId="68DCE249" w14:textId="77777777" w:rsidR="00D46CEC" w:rsidRDefault="00D46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4B2C"/>
    <w:rsid w:val="00022B04"/>
    <w:rsid w:val="00034CA3"/>
    <w:rsid w:val="000545C2"/>
    <w:rsid w:val="00067C55"/>
    <w:rsid w:val="000A17AA"/>
    <w:rsid w:val="000A6958"/>
    <w:rsid w:val="000B243F"/>
    <w:rsid w:val="000C59AB"/>
    <w:rsid w:val="000E5D6C"/>
    <w:rsid w:val="001332CC"/>
    <w:rsid w:val="001361C2"/>
    <w:rsid w:val="001A51A8"/>
    <w:rsid w:val="001C7943"/>
    <w:rsid w:val="001F6EA8"/>
    <w:rsid w:val="00203BC9"/>
    <w:rsid w:val="00254C57"/>
    <w:rsid w:val="00257B65"/>
    <w:rsid w:val="002638D3"/>
    <w:rsid w:val="00273205"/>
    <w:rsid w:val="002A2B97"/>
    <w:rsid w:val="002B1992"/>
    <w:rsid w:val="002C274F"/>
    <w:rsid w:val="002C317F"/>
    <w:rsid w:val="002C3AD0"/>
    <w:rsid w:val="00304106"/>
    <w:rsid w:val="0030534B"/>
    <w:rsid w:val="00316317"/>
    <w:rsid w:val="00320498"/>
    <w:rsid w:val="00325440"/>
    <w:rsid w:val="003312F3"/>
    <w:rsid w:val="003542C0"/>
    <w:rsid w:val="00363CEF"/>
    <w:rsid w:val="00390344"/>
    <w:rsid w:val="00396899"/>
    <w:rsid w:val="003C470E"/>
    <w:rsid w:val="003D5285"/>
    <w:rsid w:val="00401500"/>
    <w:rsid w:val="00406120"/>
    <w:rsid w:val="00414D37"/>
    <w:rsid w:val="0043398A"/>
    <w:rsid w:val="00495A9B"/>
    <w:rsid w:val="004A1126"/>
    <w:rsid w:val="004A5C30"/>
    <w:rsid w:val="004E69A5"/>
    <w:rsid w:val="004E76A5"/>
    <w:rsid w:val="005044EE"/>
    <w:rsid w:val="005415E6"/>
    <w:rsid w:val="0056681B"/>
    <w:rsid w:val="00591698"/>
    <w:rsid w:val="005B102B"/>
    <w:rsid w:val="005C4427"/>
    <w:rsid w:val="005C58AC"/>
    <w:rsid w:val="005C724D"/>
    <w:rsid w:val="00631B12"/>
    <w:rsid w:val="00672539"/>
    <w:rsid w:val="006A3DEF"/>
    <w:rsid w:val="006B26D5"/>
    <w:rsid w:val="006E4355"/>
    <w:rsid w:val="00763706"/>
    <w:rsid w:val="007655F7"/>
    <w:rsid w:val="00767527"/>
    <w:rsid w:val="007905AD"/>
    <w:rsid w:val="007978A5"/>
    <w:rsid w:val="007D44D8"/>
    <w:rsid w:val="0080303D"/>
    <w:rsid w:val="00806304"/>
    <w:rsid w:val="00824C81"/>
    <w:rsid w:val="00836F9D"/>
    <w:rsid w:val="00853AB0"/>
    <w:rsid w:val="00864BE0"/>
    <w:rsid w:val="00875A1C"/>
    <w:rsid w:val="008A6C7F"/>
    <w:rsid w:val="008D6DBD"/>
    <w:rsid w:val="008F317D"/>
    <w:rsid w:val="008F4655"/>
    <w:rsid w:val="008F7EDA"/>
    <w:rsid w:val="0092019D"/>
    <w:rsid w:val="009301BA"/>
    <w:rsid w:val="00945107"/>
    <w:rsid w:val="00956919"/>
    <w:rsid w:val="00962421"/>
    <w:rsid w:val="0098574C"/>
    <w:rsid w:val="009D1CEA"/>
    <w:rsid w:val="009F2D04"/>
    <w:rsid w:val="009F4422"/>
    <w:rsid w:val="00A16A64"/>
    <w:rsid w:val="00A2457E"/>
    <w:rsid w:val="00A86718"/>
    <w:rsid w:val="00A8753A"/>
    <w:rsid w:val="00A91780"/>
    <w:rsid w:val="00AA6527"/>
    <w:rsid w:val="00AD6BE5"/>
    <w:rsid w:val="00AD7A6D"/>
    <w:rsid w:val="00AF4175"/>
    <w:rsid w:val="00B13DDB"/>
    <w:rsid w:val="00B41C41"/>
    <w:rsid w:val="00B47246"/>
    <w:rsid w:val="00BC438B"/>
    <w:rsid w:val="00BD25C3"/>
    <w:rsid w:val="00BF7B7B"/>
    <w:rsid w:val="00C75AA7"/>
    <w:rsid w:val="00D15518"/>
    <w:rsid w:val="00D3446B"/>
    <w:rsid w:val="00D3467E"/>
    <w:rsid w:val="00D354D8"/>
    <w:rsid w:val="00D40771"/>
    <w:rsid w:val="00D444F6"/>
    <w:rsid w:val="00D46CEC"/>
    <w:rsid w:val="00D566C8"/>
    <w:rsid w:val="00D66384"/>
    <w:rsid w:val="00DC4B61"/>
    <w:rsid w:val="00DD3E35"/>
    <w:rsid w:val="00DF3131"/>
    <w:rsid w:val="00E0564A"/>
    <w:rsid w:val="00E24D13"/>
    <w:rsid w:val="00E3244F"/>
    <w:rsid w:val="00E940F6"/>
    <w:rsid w:val="00EA3612"/>
    <w:rsid w:val="00EC7640"/>
    <w:rsid w:val="00EF36C8"/>
    <w:rsid w:val="00F23CC5"/>
    <w:rsid w:val="00F321E6"/>
    <w:rsid w:val="00F33CBC"/>
    <w:rsid w:val="00F5312A"/>
    <w:rsid w:val="00F65AF1"/>
    <w:rsid w:val="00FA1D19"/>
    <w:rsid w:val="00FA6795"/>
    <w:rsid w:val="00FB28F1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孙进</dc:creator>
  <cp:lastModifiedBy>frankmao2000@hotmail.com</cp:lastModifiedBy>
  <cp:revision>10</cp:revision>
  <cp:lastPrinted>2020-08-04T03:07:00Z</cp:lastPrinted>
  <dcterms:created xsi:type="dcterms:W3CDTF">2021-09-07T06:05:00Z</dcterms:created>
  <dcterms:modified xsi:type="dcterms:W3CDTF">2021-11-10T09:15:00Z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