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keepNext w:val="0"/>
        <w:keepLines w:val="0"/>
        <w:pageBreakBefore w:val="0"/>
        <w:widowControl/>
        <w:tabs>
          <w:tab w:val="left" w:pos="993"/>
        </w:tabs>
        <w:kinsoku/>
        <w:wordWrap/>
        <w:overflowPunct/>
        <w:topLinePunct w:val="0"/>
        <w:autoSpaceDE/>
        <w:autoSpaceDN/>
        <w:bidi w:val="0"/>
        <w:adjustRightInd/>
        <w:snapToGrid/>
        <w:spacing w:line="360" w:lineRule="exact"/>
        <w:ind w:firstLine="577" w:firstLineChars="275"/>
        <w:textAlignment w:val="auto"/>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keepNext w:val="0"/>
        <w:keepLines w:val="0"/>
        <w:pageBreakBefore w:val="0"/>
        <w:widowControl/>
        <w:tabs>
          <w:tab w:val="left" w:pos="993"/>
        </w:tabs>
        <w:kinsoku/>
        <w:wordWrap/>
        <w:overflowPunct/>
        <w:topLinePunct w:val="0"/>
        <w:autoSpaceDE/>
        <w:autoSpaceDN/>
        <w:bidi w:val="0"/>
        <w:adjustRightInd/>
        <w:snapToGrid/>
        <w:spacing w:line="360" w:lineRule="exact"/>
        <w:ind w:firstLine="1024" w:firstLineChars="320"/>
        <w:textAlignment w:val="auto"/>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keepNext w:val="0"/>
        <w:keepLines w:val="0"/>
        <w:pageBreakBefore w:val="0"/>
        <w:widowControl/>
        <w:kinsoku/>
        <w:wordWrap/>
        <w:overflowPunct/>
        <w:topLinePunct w:val="0"/>
        <w:autoSpaceDE/>
        <w:autoSpaceDN/>
        <w:bidi w:val="0"/>
        <w:adjustRightInd/>
        <w:snapToGrid/>
        <w:spacing w:line="360" w:lineRule="exact"/>
        <w:ind w:firstLine="989" w:firstLineChars="278"/>
        <w:textAlignment w:val="auto"/>
        <w:rPr>
          <w:rFonts w:ascii="Arial" w:hAnsi="Arial" w:eastAsia="华文中宋" w:cs="Arial"/>
          <w:b/>
          <w:sz w:val="36"/>
          <w:szCs w:val="36"/>
        </w:rPr>
      </w:pPr>
      <w:r>
        <w:rPr>
          <w:rFonts w:ascii="Arial" w:hAnsi="Arial" w:eastAsia="华文中宋" w:cs="Arial"/>
          <w:b/>
          <w:spacing w:val="-2"/>
          <w:sz w:val="36"/>
          <w:szCs w:val="36"/>
        </w:rPr>
        <w:t>恒逸实业（文莱）有限公司</w:t>
      </w: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Arial" w:hAnsi="Arial" w:eastAsia="华文仿宋" w:cs="Arial"/>
        </w:rPr>
      </w:pP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201295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5926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w:t>
      </w:r>
      <w:r>
        <w:rPr>
          <w:rFonts w:hint="eastAsia" w:ascii="Arial" w:hAnsi="Arial" w:eastAsia="华文仿宋" w:cs="Arial"/>
          <w:sz w:val="28"/>
          <w:szCs w:val="28"/>
          <w:lang w:val="en-US" w:eastAsia="zh-CN"/>
        </w:rPr>
        <w:t>5</w:t>
      </w:r>
      <w:r>
        <w:rPr>
          <w:rFonts w:ascii="Arial" w:hAnsi="Arial" w:eastAsia="华文仿宋" w:cs="Arial"/>
          <w:sz w:val="28"/>
          <w:szCs w:val="28"/>
        </w:rPr>
        <w:t>-202</w:t>
      </w:r>
      <w:r>
        <w:rPr>
          <w:rFonts w:hint="eastAsia" w:ascii="Arial" w:hAnsi="Arial" w:eastAsia="华文仿宋" w:cs="Arial"/>
          <w:sz w:val="28"/>
          <w:szCs w:val="28"/>
        </w:rPr>
        <w:t>2</w:t>
      </w:r>
    </w:p>
    <w:p>
      <w:pPr>
        <w:ind w:left="1928" w:hanging="1680" w:hangingChars="800"/>
        <w:jc w:val="center"/>
        <w:rPr>
          <w:rFonts w:ascii="黑体" w:hAnsi="黑体" w:eastAsia="黑体" w:cs="黑体"/>
          <w:b/>
          <w:szCs w:val="21"/>
          <w:lang w:val="en-GB"/>
        </w:rPr>
      </w:pPr>
    </w:p>
    <w:p>
      <w:pPr>
        <w:ind w:left="1928" w:hanging="1680" w:hangingChars="800"/>
        <w:jc w:val="center"/>
        <w:rPr>
          <w:rFonts w:ascii="黑体" w:hAnsi="黑体" w:eastAsia="黑体" w:cs="黑体"/>
          <w:b/>
          <w:szCs w:val="21"/>
          <w:lang w:val="en-GB"/>
        </w:rPr>
      </w:pPr>
    </w:p>
    <w:p>
      <w:pPr>
        <w:ind w:left="1928" w:hanging="1680" w:hangingChars="800"/>
        <w:jc w:val="center"/>
        <w:rPr>
          <w:rFonts w:ascii="黑体" w:hAnsi="黑体" w:eastAsia="黑体" w:cs="黑体"/>
          <w:b/>
          <w:szCs w:val="21"/>
          <w:lang w:val="en-GB"/>
        </w:rPr>
      </w:pPr>
    </w:p>
    <w:p>
      <w:pPr>
        <w:ind w:left="1928" w:hanging="1680" w:hangingChars="800"/>
        <w:jc w:val="center"/>
        <w:rPr>
          <w:rFonts w:ascii="黑体" w:hAnsi="黑体" w:eastAsia="黑体" w:cs="黑体"/>
          <w:b/>
          <w:szCs w:val="21"/>
          <w:lang w:val="en-GB"/>
        </w:rPr>
      </w:pPr>
    </w:p>
    <w:p>
      <w:pPr>
        <w:spacing w:line="560" w:lineRule="exact"/>
        <w:ind w:left="1928" w:hanging="1680" w:hangingChars="800"/>
        <w:jc w:val="center"/>
        <w:rPr>
          <w:rFonts w:ascii="黑体" w:hAnsi="黑体" w:eastAsia="黑体" w:cs="黑体"/>
          <w:b/>
          <w:szCs w:val="21"/>
          <w:lang w:val="en-GB"/>
        </w:rPr>
      </w:pPr>
    </w:p>
    <w:p>
      <w:pPr>
        <w:spacing w:line="440" w:lineRule="exact"/>
        <w:ind w:left="1928" w:hanging="1680" w:hangingChars="800"/>
        <w:jc w:val="center"/>
        <w:rPr>
          <w:rFonts w:ascii="黑体" w:hAnsi="黑体" w:eastAsia="黑体" w:cs="黑体"/>
          <w:b/>
          <w:szCs w:val="21"/>
          <w:lang w:val="en-GB"/>
        </w:rPr>
      </w:pPr>
    </w:p>
    <w:p>
      <w:pPr>
        <w:spacing w:line="440" w:lineRule="exact"/>
        <w:ind w:left="1928" w:hanging="1680" w:hangingChars="800"/>
        <w:jc w:val="center"/>
        <w:rPr>
          <w:rFonts w:ascii="黑体" w:hAnsi="黑体" w:eastAsia="黑体" w:cs="黑体"/>
          <w:b/>
          <w:szCs w:val="21"/>
          <w:lang w:val="en-GB"/>
        </w:rPr>
      </w:pPr>
    </w:p>
    <w:p>
      <w:pPr>
        <w:spacing w:line="440" w:lineRule="exact"/>
        <w:ind w:left="1928" w:hanging="1680" w:hangingChars="800"/>
        <w:jc w:val="center"/>
        <w:rPr>
          <w:rFonts w:ascii="黑体" w:hAnsi="黑体" w:eastAsia="黑体" w:cs="黑体"/>
          <w:b/>
          <w:szCs w:val="21"/>
          <w:lang w:val="en-GB"/>
        </w:rPr>
      </w:pPr>
    </w:p>
    <w:p>
      <w:pPr>
        <w:spacing w:line="440" w:lineRule="exact"/>
        <w:ind w:left="1928"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ind w:left="3524" w:hanging="3520" w:hangingChars="800"/>
        <w:jc w:val="center"/>
        <w:rPr>
          <w:rFonts w:ascii="Arial" w:hAnsi="Arial" w:eastAsia="华文仿宋" w:cs="Arial"/>
          <w:b/>
          <w:sz w:val="44"/>
          <w:szCs w:val="44"/>
        </w:rPr>
      </w:pPr>
    </w:p>
    <w:p>
      <w:pPr>
        <w:spacing w:line="440" w:lineRule="exact"/>
        <w:ind w:left="3524" w:hanging="3520" w:hangingChars="800"/>
        <w:jc w:val="center"/>
        <w:rPr>
          <w:rFonts w:ascii="Arial" w:hAnsi="Arial" w:eastAsia="华文仿宋" w:cs="Arial"/>
          <w:b/>
          <w:sz w:val="44"/>
          <w:szCs w:val="44"/>
          <w:lang w:val="en-GB"/>
        </w:rPr>
      </w:pPr>
    </w:p>
    <w:bookmarkEnd w:id="0"/>
    <w:p>
      <w:pPr>
        <w:rPr>
          <w:rFonts w:ascii="Arial" w:hAnsi="Arial" w:eastAsia="华文仿宋" w:cs="Arial"/>
          <w:sz w:val="52"/>
          <w:szCs w:val="52"/>
        </w:rPr>
      </w:pPr>
    </w:p>
    <w:p>
      <w:pPr>
        <w:rPr>
          <w:rFonts w:hint="eastAsia" w:ascii="Arial" w:hAnsi="Arial" w:eastAsia="黑体" w:cs="Arial"/>
          <w:sz w:val="32"/>
          <w:szCs w:val="32"/>
          <w:lang w:eastAsia="zh-CN"/>
        </w:rPr>
      </w:pPr>
      <w:r>
        <w:rPr>
          <w:rFonts w:ascii="Arial" w:hAnsi="Arial" w:eastAsia="黑体" w:cs="Arial"/>
          <w:sz w:val="32"/>
          <w:szCs w:val="32"/>
        </w:rPr>
        <w:t>Issued Date：</w:t>
      </w:r>
      <w:r>
        <w:rPr>
          <w:rFonts w:hint="eastAsia" w:ascii="Arial" w:hAnsi="Arial" w:eastAsia="黑体" w:cs="Arial"/>
          <w:sz w:val="32"/>
          <w:szCs w:val="32"/>
        </w:rPr>
        <w:t>Mar</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lang w:eastAsia="zh-CN"/>
        </w:rPr>
        <w:t>5月</w:t>
      </w:r>
    </w:p>
    <w:p>
      <w:pPr>
        <w:rPr>
          <w:rFonts w:ascii="Arial" w:hAnsi="Arial" w:eastAsia="华文仿宋" w:cs="Arial"/>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hint="default" w:ascii="Arial" w:hAnsi="Arial" w:eastAsia="华文中宋" w:cs="Arial"/>
          <w:b/>
          <w:sz w:val="32"/>
          <w:szCs w:val="32"/>
          <w:lang w:val="en-US" w:eastAsia="zh-CN"/>
        </w:rPr>
      </w:pPr>
      <w:r>
        <w:rPr>
          <w:rFonts w:ascii="Arial" w:hAnsi="Arial" w:eastAsia="华文中宋"/>
          <w:sz w:val="32"/>
          <w:szCs w:val="32"/>
        </w:rPr>
        <w:t>Prepared by</w:t>
      </w:r>
      <w:r>
        <w:rPr>
          <w:rFonts w:ascii="Arial" w:hAnsi="Arial" w:eastAsia="华文中宋" w:cs="Arial"/>
          <w:sz w:val="32"/>
          <w:szCs w:val="21"/>
        </w:rPr>
        <w:t>:</w:t>
      </w:r>
      <w:r>
        <w:rPr>
          <w:rFonts w:hint="eastAsia" w:ascii="Arial" w:hAnsi="Arial" w:eastAsia="华文中宋" w:cs="Arial"/>
          <w:sz w:val="32"/>
          <w:szCs w:val="21"/>
          <w:lang w:val="en-US" w:eastAsia="zh-CN"/>
        </w:rPr>
        <w:t>Li Chunjin</w:t>
      </w:r>
    </w:p>
    <w:p>
      <w:pPr>
        <w:ind w:left="2520" w:leftChars="1200"/>
        <w:rPr>
          <w:rFonts w:hint="eastAsia" w:ascii="Arial" w:hAnsi="Arial" w:eastAsia="华文中宋" w:cs="Arial"/>
          <w:bCs/>
          <w:sz w:val="32"/>
          <w:szCs w:val="32"/>
          <w:lang w:val="en-US" w:eastAsia="zh-CN"/>
        </w:rPr>
      </w:pPr>
      <w:r>
        <w:rPr>
          <w:rFonts w:hint="eastAsia" w:ascii="Arial" w:hAnsi="Arial" w:eastAsia="华文中宋"/>
          <w:sz w:val="32"/>
          <w:szCs w:val="32"/>
        </w:rPr>
        <w:t>编    写</w:t>
      </w:r>
      <w:r>
        <w:rPr>
          <w:rFonts w:ascii="Arial" w:hAnsi="Arial" w:eastAsia="华文中宋" w:cs="Arial"/>
          <w:b/>
          <w:sz w:val="32"/>
          <w:szCs w:val="32"/>
        </w:rPr>
        <w:t>：</w:t>
      </w:r>
      <w:r>
        <w:rPr>
          <w:rFonts w:hint="eastAsia" w:ascii="Arial" w:hAnsi="Arial" w:eastAsia="华文中宋"/>
          <w:sz w:val="32"/>
          <w:szCs w:val="32"/>
          <w:lang w:val="en-US" w:eastAsia="zh-CN"/>
        </w:rPr>
        <w:t>李纯进</w:t>
      </w: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2" w:type="first"/>
          <w:footerReference r:id="rId11"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4" w:type="first"/>
              <w:footerReference r:id="rId13"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sz w:val="32"/>
              <w:szCs w:val="32"/>
            </w:rPr>
            <w:sectPr>
              <w:footerReference r:id="rId16" w:type="first"/>
              <w:footerReference r:id="rId15"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bCs/>
              <w:sz w:val="21"/>
              <w:szCs w:val="32"/>
            </w:rPr>
            <w:fldChar w:fldCharType="end"/>
          </w: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0"/>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szCs w:val="24"/>
                <w:lang w:val="en-GB"/>
              </w:rPr>
            </w:pPr>
            <w:r>
              <w:rPr>
                <w:rFonts w:ascii="Arial" w:hAnsi="Arial" w:eastAsia="华文仿宋" w:cs="Arial"/>
                <w:b/>
                <w:sz w:val="24"/>
                <w:szCs w:val="24"/>
                <w:lang w:val="en-GB"/>
              </w:rPr>
              <w:t xml:space="preserve">Production Technology Monthly Report of </w:t>
            </w:r>
            <w:r>
              <w:rPr>
                <w:rFonts w:hint="eastAsia" w:ascii="Arial" w:hAnsi="Arial" w:eastAsia="华文仿宋" w:cs="Arial"/>
                <w:b/>
                <w:sz w:val="24"/>
                <w:szCs w:val="24"/>
                <w:lang w:val="en-GB"/>
              </w:rPr>
              <w:t>Water Treatment</w:t>
            </w:r>
          </w:p>
          <w:p>
            <w:pPr>
              <w:spacing w:line="320" w:lineRule="exact"/>
              <w:jc w:val="center"/>
              <w:rPr>
                <w:rFonts w:ascii="Arial" w:hAnsi="Arial" w:eastAsia="黑体" w:cs="Arial"/>
                <w:b/>
                <w:sz w:val="24"/>
                <w:szCs w:val="24"/>
              </w:rPr>
            </w:pPr>
            <w:r>
              <w:rPr>
                <w:rFonts w:hint="eastAsia" w:ascii="黑体" w:hAnsi="黑体" w:eastAsia="黑体" w:cs="黑体"/>
                <w:b/>
                <w:sz w:val="24"/>
                <w:szCs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w:t>
            </w:r>
            <w:r>
              <w:rPr>
                <w:rFonts w:hint="eastAsia" w:ascii="Arial" w:hAnsi="Arial" w:eastAsia="黑体" w:cs="Arial"/>
                <w:sz w:val="21"/>
                <w:szCs w:val="21"/>
                <w:lang w:val="en-US" w:eastAsia="zh-CN"/>
              </w:rPr>
              <w:t>5</w:t>
            </w:r>
            <w:r>
              <w:rPr>
                <w:rFonts w:ascii="Arial" w:hAnsi="Arial" w:eastAsia="黑体" w:cs="Arial"/>
                <w:sz w:val="21"/>
                <w:szCs w:val="21"/>
              </w:rPr>
              <w:t>-202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2</w:t>
            </w:r>
            <w:r>
              <w:rPr>
                <w:rFonts w:hint="eastAsia" w:ascii="Arial" w:hAnsi="Arial" w:cs="Arial"/>
                <w:sz w:val="21"/>
                <w:szCs w:val="21"/>
                <w:lang w:val="en-US" w:eastAsia="zh-CN"/>
              </w:rPr>
              <w:t>9</w:t>
            </w:r>
            <w:r>
              <w:rPr>
                <w:rFonts w:hint="eastAsia" w:ascii="Arial" w:hAnsi="Arial" w:cs="Arial"/>
                <w:sz w:val="21"/>
                <w:szCs w:val="21"/>
              </w:rPr>
              <w:t xml:space="preserve"> </w:t>
            </w:r>
          </w:p>
        </w:tc>
      </w:tr>
    </w:tbl>
    <w:p>
      <w:pPr>
        <w:pStyle w:val="2"/>
        <w:keepNext/>
        <w:keepLines/>
        <w:pageBreakBefore w:val="0"/>
        <w:widowControl/>
        <w:kinsoku/>
        <w:wordWrap/>
        <w:overflowPunct/>
        <w:topLinePunct w:val="0"/>
        <w:autoSpaceDE/>
        <w:autoSpaceDN/>
        <w:bidi w:val="0"/>
        <w:adjustRightInd/>
        <w:snapToGrid/>
        <w:spacing w:before="0" w:beforeLines="0" w:after="0" w:line="360" w:lineRule="exact"/>
        <w:textAlignment w:val="auto"/>
      </w:pPr>
    </w:p>
    <w:p>
      <w:pPr>
        <w:pStyle w:val="2"/>
        <w:keepNext/>
        <w:keepLines/>
        <w:pageBreakBefore w:val="0"/>
        <w:widowControl/>
        <w:kinsoku/>
        <w:wordWrap/>
        <w:overflowPunct/>
        <w:topLinePunct w:val="0"/>
        <w:autoSpaceDE/>
        <w:autoSpaceDN/>
        <w:bidi w:val="0"/>
        <w:adjustRightInd/>
        <w:snapToGrid/>
        <w:spacing w:before="0" w:beforeLines="0" w:after="0" w:line="360" w:lineRule="exact"/>
        <w:textAlignment w:val="auto"/>
      </w:pPr>
      <w:bookmarkStart w:id="1" w:name="_Toc10686"/>
      <w:bookmarkStart w:id="2" w:name="_Toc19090"/>
      <w:r>
        <w:rPr>
          <w:rFonts w:hint="eastAsia"/>
        </w:rPr>
        <w:t>1 生产概况</w:t>
      </w:r>
      <w:bookmarkEnd w:id="1"/>
      <w:bookmarkEnd w:id="2"/>
    </w:p>
    <w:p>
      <w:pPr>
        <w:pageBreakBefore w:val="0"/>
        <w:widowControl/>
        <w:kinsoku/>
        <w:wordWrap/>
        <w:overflowPunct/>
        <w:topLinePunct w:val="0"/>
        <w:autoSpaceDE/>
        <w:autoSpaceDN/>
        <w:bidi w:val="0"/>
        <w:adjustRightInd/>
        <w:snapToGrid/>
        <w:spacing w:line="360" w:lineRule="exact"/>
        <w:textAlignment w:val="auto"/>
        <w:rPr>
          <w:rFonts w:ascii="Arial" w:hAnsi="Arial" w:cs="Arial"/>
          <w:szCs w:val="21"/>
        </w:rPr>
      </w:pPr>
      <w:bookmarkStart w:id="3" w:name="_Toc34415479"/>
    </w:p>
    <w:p>
      <w:pPr>
        <w:ind w:firstLine="420" w:firstLineChars="200"/>
        <w:rPr>
          <w:szCs w:val="21"/>
        </w:rPr>
      </w:pPr>
      <w:r>
        <w:rPr>
          <w:rFonts w:hint="eastAsia"/>
          <w:szCs w:val="21"/>
        </w:rPr>
        <w:t>本月水处理各装置平稳率100%，联锁投用率100%；各单元生产完成情况如下：</w:t>
      </w:r>
    </w:p>
    <w:p>
      <w:pPr>
        <w:rPr>
          <w:rFonts w:ascii="Arial" w:hAnsi="Arial" w:eastAsia="黑体" w:cs="Arial"/>
          <w:szCs w:val="21"/>
        </w:rPr>
      </w:pPr>
    </w:p>
    <w:p>
      <w:pPr>
        <w:pStyle w:val="3"/>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 xml:space="preserve">表1-1 </w:t>
      </w:r>
      <w:r>
        <w:rPr>
          <w:rFonts w:hint="eastAsia" w:ascii="黑体" w:hAnsi="黑体" w:eastAsia="黑体" w:cs="黑体"/>
          <w:szCs w:val="21"/>
          <w:lang w:eastAsia="zh-CN"/>
        </w:rPr>
        <w:t>5月</w:t>
      </w:r>
      <w:r>
        <w:rPr>
          <w:rFonts w:hint="eastAsia" w:ascii="黑体" w:hAnsi="黑体" w:eastAsia="黑体" w:cs="黑体"/>
          <w:szCs w:val="21"/>
        </w:rPr>
        <w:t>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default" w:ascii="Arial" w:hAnsi="Arial" w:cs="Arial"/>
                <w:szCs w:val="21"/>
              </w:rPr>
            </w:pPr>
            <w:r>
              <w:rPr>
                <w:rFonts w:hint="default"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default"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hint="default" w:ascii="Arial" w:hAnsi="Arial" w:cs="Arial"/>
                <w:szCs w:val="21"/>
              </w:rPr>
            </w:pPr>
            <w:r>
              <w:rPr>
                <w:rFonts w:hint="default"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szCs w:val="21"/>
              </w:rPr>
            </w:pPr>
            <w:r>
              <w:rPr>
                <w:rFonts w:hint="default"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szCs w:val="21"/>
              </w:rPr>
            </w:pPr>
            <w:r>
              <w:rPr>
                <w:rFonts w:hint="default"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hint="default" w:ascii="Arial" w:hAnsi="Arial" w:cs="Arial"/>
                <w:szCs w:val="21"/>
              </w:rPr>
            </w:pPr>
            <w:r>
              <w:rPr>
                <w:rFonts w:hint="default"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ind w:left="105" w:leftChars="50"/>
              <w:jc w:val="center"/>
              <w:rPr>
                <w:rFonts w:hint="default" w:ascii="Arial" w:hAnsi="Arial" w:cs="Arial"/>
                <w:sz w:val="21"/>
                <w:szCs w:val="21"/>
              </w:rPr>
            </w:pPr>
            <w:r>
              <w:rPr>
                <w:rFonts w:hint="default" w:ascii="Arial" w:hAnsi="Arial" w:cs="Arial"/>
                <w:sz w:val="21"/>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31563.8</w:t>
            </w:r>
          </w:p>
        </w:tc>
        <w:tc>
          <w:tcPr>
            <w:tcW w:w="12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42.4</w:t>
            </w:r>
          </w:p>
        </w:tc>
        <w:tc>
          <w:tcPr>
            <w:tcW w:w="12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41929.3</w:t>
            </w:r>
          </w:p>
        </w:tc>
        <w:tc>
          <w:tcPr>
            <w:tcW w:w="12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sz w:val="21"/>
                <w:szCs w:val="21"/>
                <w:u w:val="none"/>
                <w:lang w:val="en-US" w:eastAsia="zh-CN" w:bidi="ar-SA"/>
              </w:rPr>
            </w:pPr>
            <w:r>
              <w:rPr>
                <w:rFonts w:hint="default" w:ascii="Arial" w:hAnsi="Arial" w:eastAsia="宋体" w:cs="Arial"/>
                <w:i w:val="0"/>
                <w:iCs w:val="0"/>
                <w:color w:val="auto"/>
                <w:kern w:val="0"/>
                <w:sz w:val="21"/>
                <w:szCs w:val="21"/>
                <w:u w:val="none"/>
                <w:lang w:val="en-US" w:eastAsia="zh-CN" w:bidi="ar"/>
              </w:rPr>
              <w:t>58.23</w:t>
            </w:r>
          </w:p>
        </w:tc>
        <w:tc>
          <w:tcPr>
            <w:tcW w:w="13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sz w:val="21"/>
                <w:szCs w:val="21"/>
                <w:u w:val="none"/>
                <w:lang w:val="en-US" w:eastAsia="zh-CN" w:bidi="ar-SA"/>
              </w:rPr>
            </w:pPr>
            <w:r>
              <w:rPr>
                <w:rFonts w:hint="default" w:ascii="Arial" w:hAnsi="Arial" w:eastAsia="宋体" w:cs="Arial"/>
                <w:b w:val="0"/>
                <w:bCs w:val="0"/>
                <w:i w:val="0"/>
                <w:iCs w:val="0"/>
                <w:color w:val="auto"/>
                <w:kern w:val="0"/>
                <w:sz w:val="21"/>
                <w:szCs w:val="21"/>
                <w:u w:val="none"/>
                <w:lang w:val="en-US" w:eastAsia="zh-CN" w:bidi="ar"/>
              </w:rPr>
              <w:t>191503.8</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本月湖水利用装置间断运行</w:t>
      </w:r>
      <w:r>
        <w:rPr>
          <w:rFonts w:hint="eastAsia" w:cs="宋体"/>
          <w:sz w:val="21"/>
          <w:szCs w:val="21"/>
          <w:lang w:val="en-US" w:eastAsia="zh-CN"/>
        </w:rPr>
        <w:t>12</w:t>
      </w:r>
      <w:r>
        <w:rPr>
          <w:rFonts w:hint="eastAsia" w:ascii="宋体" w:hAnsi="宋体" w:eastAsia="宋体" w:cs="宋体"/>
          <w:sz w:val="21"/>
          <w:szCs w:val="21"/>
        </w:rPr>
        <w:t>次，产水直接补入一循塔下水池。本月产水总量为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41929.3</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，在保证一循水质（氯离子）正常情况下，较上月</w:t>
      </w:r>
      <w:r>
        <w:rPr>
          <w:rFonts w:hint="eastAsia" w:ascii="宋体" w:hAnsi="宋体" w:eastAsia="宋体" w:cs="宋体"/>
          <w:sz w:val="21"/>
          <w:szCs w:val="21"/>
          <w:lang w:val="en-US" w:eastAsia="zh-CN"/>
        </w:rPr>
        <w:t>上升了</w:t>
      </w:r>
      <w:r>
        <w:rPr>
          <w:rFonts w:hint="eastAsia" w:cs="宋体"/>
          <w:sz w:val="21"/>
          <w:szCs w:val="21"/>
          <w:lang w:val="en-US" w:eastAsia="zh-CN"/>
        </w:rPr>
        <w:t>10365.5</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本月湖水产水氯离子平均值为</w:t>
      </w:r>
      <w:r>
        <w:rPr>
          <w:rFonts w:hint="eastAsia" w:cs="宋体"/>
          <w:color w:val="000000" w:themeColor="text1"/>
          <w:sz w:val="21"/>
          <w:szCs w:val="21"/>
          <w:lang w:val="en-US" w:eastAsia="zh-CN"/>
          <w14:textFill>
            <w14:solidFill>
              <w14:schemeClr w14:val="tx1"/>
            </w14:solidFill>
          </w14:textFill>
        </w:rPr>
        <w:t>129.3</w:t>
      </w:r>
      <w:r>
        <w:rPr>
          <w:rFonts w:hint="eastAsia" w:ascii="宋体" w:hAnsi="宋体" w:eastAsia="宋体" w:cs="宋体"/>
          <w:color w:val="000000" w:themeColor="text1"/>
          <w:sz w:val="21"/>
          <w:szCs w:val="21"/>
          <w14:textFill>
            <w14:solidFill>
              <w14:schemeClr w14:val="tx1"/>
            </w14:solidFill>
          </w14:textFill>
        </w:rPr>
        <w:t>mg/L</w:t>
      </w:r>
      <w:r>
        <w:rPr>
          <w:rFonts w:hint="eastAsia" w:ascii="宋体" w:hAnsi="宋体" w:eastAsia="宋体" w:cs="宋体"/>
          <w:sz w:val="21"/>
          <w:szCs w:val="21"/>
        </w:rPr>
        <w:t>，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rPr>
          <w:rFonts w:ascii="Arial" w:hAnsi="Arial" w:cs="Arial"/>
          <w:szCs w:val="21"/>
        </w:rPr>
      </w:pPr>
      <w:r>
        <w:rPr>
          <w:rFonts w:hint="eastAsia" w:ascii="Arial" w:hAnsi="Arial" w:cs="Arial"/>
          <w:szCs w:val="21"/>
        </w:rPr>
        <w:t>湖水利用单元本年累计支持海淡检修：</w:t>
      </w:r>
    </w:p>
    <w:p>
      <w:pPr>
        <w:spacing w:line="440" w:lineRule="exact"/>
        <w:jc w:val="center"/>
        <w:rPr>
          <w:rFonts w:ascii="Arial" w:hAnsi="Arial" w:eastAsia="黑体" w:cs="Arial"/>
          <w:szCs w:val="21"/>
        </w:rPr>
      </w:pPr>
      <w:r>
        <w:rPr>
          <w:rFonts w:hint="eastAsia" w:ascii="黑体" w:hAnsi="黑体" w:eastAsia="黑体" w:cs="黑体"/>
          <w:szCs w:val="21"/>
        </w:rPr>
        <w:t>表1-1-1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after="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52</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52</w:t>
            </w:r>
          </w:p>
        </w:tc>
        <w:tc>
          <w:tcPr>
            <w:tcW w:w="1783" w:type="dxa"/>
            <w:vAlign w:val="center"/>
          </w:tcPr>
          <w:p>
            <w:pPr>
              <w:widowControl w:val="0"/>
              <w:jc w:val="center"/>
              <w:rPr>
                <w:rFonts w:ascii="Arial" w:hAnsi="Arial" w:cs="Arial"/>
                <w:sz w:val="21"/>
                <w:szCs w:val="21"/>
              </w:rPr>
            </w:pPr>
            <w:r>
              <w:rPr>
                <w:rFonts w:hint="eastAsia" w:ascii="Arial" w:hAnsi="Arial" w:cs="Arial"/>
                <w:sz w:val="21"/>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after="0"/>
              <w:jc w:val="center"/>
              <w:rPr>
                <w:rFonts w:ascii="Arial" w:hAnsi="Arial" w:cs="Arial"/>
                <w:szCs w:val="21"/>
              </w:rPr>
            </w:pPr>
            <w:r>
              <w:rPr>
                <w:rFonts w:hint="eastAsia" w:ascii="Arial" w:hAnsi="Arial" w:cs="Arial"/>
                <w:szCs w:val="21"/>
              </w:rPr>
              <w:t>3月9日-11日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54</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88</w:t>
            </w:r>
          </w:p>
        </w:tc>
        <w:tc>
          <w:tcPr>
            <w:tcW w:w="1783" w:type="dxa"/>
            <w:vAlign w:val="center"/>
          </w:tcPr>
          <w:p>
            <w:pPr>
              <w:widowControl w:val="0"/>
              <w:jc w:val="center"/>
              <w:rPr>
                <w:rFonts w:ascii="Arial" w:hAnsi="Arial" w:cs="Arial"/>
                <w:sz w:val="21"/>
                <w:szCs w:val="21"/>
              </w:rPr>
            </w:pPr>
            <w:r>
              <w:rPr>
                <w:rFonts w:hint="eastAsia" w:ascii="Arial" w:hAnsi="Arial" w:cs="Arial"/>
                <w:sz w:val="21"/>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after="0"/>
              <w:jc w:val="center"/>
              <w:rPr>
                <w:rFonts w:ascii="Arial" w:hAnsi="Arial" w:cs="Arial"/>
                <w:szCs w:val="21"/>
              </w:rPr>
            </w:pPr>
            <w:bookmarkStart w:id="7" w:name="_Toc1073"/>
            <w:bookmarkStart w:id="8" w:name="_Toc6374"/>
            <w:r>
              <w:rPr>
                <w:rFonts w:hint="eastAsia" w:ascii="Arial" w:hAnsi="Arial" w:cs="Arial"/>
                <w:szCs w:val="21"/>
              </w:rPr>
              <w:t>3月31日-4</w:t>
            </w:r>
            <w:bookmarkStart w:id="118" w:name="_GoBack"/>
            <w:bookmarkEnd w:id="118"/>
            <w:r>
              <w:rPr>
                <w:rFonts w:hint="eastAsia" w:ascii="Arial" w:hAnsi="Arial" w:cs="Arial"/>
                <w:szCs w:val="21"/>
              </w:rPr>
              <w:t>月2日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54</w:t>
            </w:r>
          </w:p>
        </w:tc>
        <w:tc>
          <w:tcPr>
            <w:tcW w:w="1749" w:type="dxa"/>
            <w:vAlign w:val="center"/>
          </w:tcPr>
          <w:p>
            <w:pPr>
              <w:widowControl w:val="0"/>
              <w:jc w:val="center"/>
              <w:rPr>
                <w:rFonts w:ascii="Arial" w:hAnsi="Arial" w:cs="Arial"/>
                <w:sz w:val="21"/>
                <w:szCs w:val="21"/>
              </w:rPr>
            </w:pPr>
            <w:r>
              <w:rPr>
                <w:rFonts w:hint="eastAsia" w:ascii="Arial" w:hAnsi="Arial" w:cs="Arial"/>
                <w:sz w:val="21"/>
                <w:szCs w:val="21"/>
              </w:rPr>
              <w:t>50</w:t>
            </w:r>
          </w:p>
        </w:tc>
        <w:tc>
          <w:tcPr>
            <w:tcW w:w="1783" w:type="dxa"/>
            <w:vAlign w:val="center"/>
          </w:tcPr>
          <w:p>
            <w:pPr>
              <w:widowControl w:val="0"/>
              <w:jc w:val="center"/>
              <w:rPr>
                <w:rFonts w:ascii="Arial" w:hAnsi="Arial" w:cs="Arial"/>
                <w:sz w:val="21"/>
                <w:szCs w:val="21"/>
              </w:rPr>
            </w:pPr>
            <w:r>
              <w:rPr>
                <w:rFonts w:hint="eastAsia" w:ascii="Arial" w:hAnsi="Arial" w:cs="Arial"/>
                <w:sz w:val="21"/>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lang w:val="en-US" w:eastAsia="zh-CN"/>
              </w:rPr>
              <w:t>4</w:t>
            </w:r>
            <w:r>
              <w:rPr>
                <w:rFonts w:hint="eastAsia" w:ascii="Arial" w:hAnsi="Arial" w:cs="Arial"/>
                <w:szCs w:val="21"/>
                <w:lang w:eastAsia="zh-CN"/>
              </w:rPr>
              <w:t>月</w:t>
            </w:r>
            <w:r>
              <w:rPr>
                <w:rFonts w:hint="eastAsia" w:ascii="Arial" w:hAnsi="Arial" w:cs="Arial"/>
                <w:szCs w:val="21"/>
              </w:rPr>
              <w:t>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hint="eastAsia" w:ascii="Arial" w:hAnsi="Arial" w:cs="Arial"/>
                <w:sz w:val="21"/>
                <w:szCs w:val="21"/>
              </w:rPr>
            </w:pPr>
            <w:r>
              <w:rPr>
                <w:rFonts w:hint="eastAsia" w:ascii="Arial" w:hAnsi="Arial" w:cs="Arial"/>
                <w:sz w:val="21"/>
                <w:szCs w:val="21"/>
              </w:rPr>
              <w:t>56</w:t>
            </w:r>
          </w:p>
        </w:tc>
        <w:tc>
          <w:tcPr>
            <w:tcW w:w="1749" w:type="dxa"/>
            <w:vAlign w:val="center"/>
          </w:tcPr>
          <w:p>
            <w:pPr>
              <w:widowControl w:val="0"/>
              <w:jc w:val="center"/>
              <w:rPr>
                <w:rFonts w:hint="eastAsia" w:ascii="Arial" w:hAnsi="Arial" w:cs="Arial"/>
                <w:sz w:val="21"/>
                <w:szCs w:val="21"/>
              </w:rPr>
            </w:pPr>
            <w:r>
              <w:rPr>
                <w:rFonts w:hint="eastAsia" w:ascii="Arial" w:hAnsi="Arial" w:cs="Arial"/>
                <w:sz w:val="21"/>
                <w:szCs w:val="21"/>
              </w:rPr>
              <w:t>60</w:t>
            </w:r>
          </w:p>
        </w:tc>
        <w:tc>
          <w:tcPr>
            <w:tcW w:w="1783" w:type="dxa"/>
            <w:vAlign w:val="center"/>
          </w:tcPr>
          <w:p>
            <w:pPr>
              <w:widowControl w:val="0"/>
              <w:jc w:val="center"/>
              <w:rPr>
                <w:rFonts w:hint="eastAsia" w:ascii="Arial" w:hAnsi="Arial" w:cs="Arial"/>
                <w:sz w:val="21"/>
                <w:szCs w:val="21"/>
              </w:rPr>
            </w:pPr>
            <w:r>
              <w:rPr>
                <w:rFonts w:hint="eastAsia" w:ascii="Arial" w:hAnsi="Arial" w:cs="Arial"/>
                <w:sz w:val="21"/>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hint="eastAsia" w:ascii="Arial" w:hAnsi="Arial" w:cs="Arial"/>
                <w:szCs w:val="21"/>
                <w:lang w:val="en-US" w:eastAsia="zh-CN"/>
              </w:rPr>
            </w:pPr>
            <w:r>
              <w:rPr>
                <w:rFonts w:hint="eastAsia" w:ascii="Arial" w:hAnsi="Arial" w:cs="Arial"/>
                <w:szCs w:val="21"/>
                <w:lang w:val="en-US" w:eastAsia="zh-CN"/>
              </w:rPr>
              <w:t>5月20日-21日</w:t>
            </w:r>
          </w:p>
        </w:tc>
        <w:tc>
          <w:tcPr>
            <w:tcW w:w="1544" w:type="dxa"/>
            <w:vAlign w:val="center"/>
          </w:tcPr>
          <w:p>
            <w:pPr>
              <w:widowControl w:val="0"/>
              <w:jc w:val="center"/>
              <w:rPr>
                <w:rFonts w:hint="eastAsia"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hint="eastAsia" w:ascii="Arial" w:hAnsi="Arial" w:eastAsia="宋体" w:cs="Arial"/>
                <w:sz w:val="21"/>
                <w:szCs w:val="21"/>
                <w:lang w:val="en-US" w:eastAsia="zh-CN"/>
              </w:rPr>
            </w:pPr>
            <w:r>
              <w:rPr>
                <w:rFonts w:hint="eastAsia" w:ascii="Arial" w:hAnsi="Arial" w:cs="Arial"/>
                <w:sz w:val="21"/>
                <w:szCs w:val="21"/>
                <w:lang w:val="en-US" w:eastAsia="zh-CN"/>
              </w:rPr>
              <w:t>36</w:t>
            </w:r>
          </w:p>
        </w:tc>
        <w:tc>
          <w:tcPr>
            <w:tcW w:w="1749" w:type="dxa"/>
            <w:vAlign w:val="center"/>
          </w:tcPr>
          <w:p>
            <w:pPr>
              <w:widowControl w:val="0"/>
              <w:jc w:val="center"/>
              <w:rPr>
                <w:rFonts w:hint="eastAsia" w:ascii="Arial" w:hAnsi="Arial" w:eastAsia="宋体" w:cs="Arial"/>
                <w:sz w:val="21"/>
                <w:szCs w:val="21"/>
                <w:lang w:val="en-US" w:eastAsia="zh-CN"/>
              </w:rPr>
            </w:pPr>
            <w:r>
              <w:rPr>
                <w:rFonts w:hint="eastAsia" w:ascii="Arial" w:hAnsi="Arial" w:cs="Arial"/>
                <w:sz w:val="21"/>
                <w:szCs w:val="21"/>
                <w:lang w:val="en-US" w:eastAsia="zh-CN"/>
              </w:rPr>
              <w:t>36</w:t>
            </w:r>
          </w:p>
        </w:tc>
        <w:tc>
          <w:tcPr>
            <w:tcW w:w="1783" w:type="dxa"/>
            <w:vAlign w:val="center"/>
          </w:tcPr>
          <w:p>
            <w:pPr>
              <w:widowControl w:val="0"/>
              <w:jc w:val="center"/>
              <w:rPr>
                <w:rFonts w:hint="eastAsia" w:ascii="Arial" w:hAnsi="Arial" w:eastAsia="宋体" w:cs="Arial"/>
                <w:sz w:val="21"/>
                <w:szCs w:val="21"/>
                <w:lang w:val="en-US" w:eastAsia="zh-CN"/>
              </w:rPr>
            </w:pPr>
            <w:r>
              <w:rPr>
                <w:rFonts w:hint="eastAsia" w:ascii="Arial" w:hAnsi="Arial" w:cs="Arial"/>
                <w:sz w:val="21"/>
                <w:szCs w:val="21"/>
                <w:lang w:val="en-US" w:eastAsia="zh-CN"/>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hint="eastAsia" w:ascii="Arial" w:hAnsi="Arial" w:eastAsia="宋体" w:cs="Arial"/>
                <w:b/>
                <w:bCs/>
                <w:sz w:val="21"/>
                <w:szCs w:val="21"/>
                <w:lang w:val="en-US" w:eastAsia="zh-CN" w:bidi="ar-SA"/>
              </w:rPr>
            </w:pPr>
            <w:r>
              <w:rPr>
                <w:rFonts w:hint="eastAsia" w:ascii="Arial" w:hAnsi="Arial" w:cs="Arial"/>
                <w:b/>
                <w:bCs/>
                <w:szCs w:val="21"/>
              </w:rPr>
              <w:t>累计</w:t>
            </w:r>
          </w:p>
        </w:tc>
        <w:tc>
          <w:tcPr>
            <w:tcW w:w="1544" w:type="dxa"/>
            <w:vAlign w:val="center"/>
          </w:tcPr>
          <w:p>
            <w:pPr>
              <w:widowControl w:val="0"/>
              <w:jc w:val="center"/>
              <w:rPr>
                <w:rFonts w:ascii="Arial" w:hAnsi="Arial" w:eastAsia="宋体" w:cs="Arial"/>
                <w:b/>
                <w:bCs/>
                <w:sz w:val="21"/>
                <w:szCs w:val="21"/>
                <w:lang w:val="en-US" w:eastAsia="zh-CN" w:bidi="ar-SA"/>
              </w:rPr>
            </w:pPr>
            <w:r>
              <w:rPr>
                <w:rFonts w:hint="eastAsia" w:ascii="Arial" w:hAnsi="Arial" w:cs="Arial"/>
                <w:b/>
                <w:bCs/>
                <w:szCs w:val="21"/>
                <w:lang w:val="en-US" w:eastAsia="zh-CN"/>
              </w:rPr>
              <w:t>5</w:t>
            </w:r>
            <w:r>
              <w:rPr>
                <w:rFonts w:hint="eastAsia" w:ascii="Arial" w:hAnsi="Arial" w:cs="Arial"/>
                <w:b/>
                <w:bCs/>
                <w:szCs w:val="21"/>
              </w:rPr>
              <w:t>次</w:t>
            </w:r>
          </w:p>
        </w:tc>
        <w:tc>
          <w:tcPr>
            <w:tcW w:w="1749" w:type="dxa"/>
            <w:vAlign w:val="center"/>
          </w:tcPr>
          <w:p>
            <w:pPr>
              <w:widowControl w:val="0"/>
              <w:jc w:val="center"/>
              <w:rPr>
                <w:rFonts w:hint="default" w:ascii="Arial" w:hAnsi="Arial" w:eastAsia="宋体" w:cs="Arial"/>
                <w:b/>
                <w:bCs/>
                <w:sz w:val="21"/>
                <w:szCs w:val="21"/>
                <w:lang w:val="en-US" w:eastAsia="zh-CN" w:bidi="ar-SA"/>
              </w:rPr>
            </w:pPr>
            <w:r>
              <w:rPr>
                <w:rFonts w:hint="eastAsia" w:ascii="Arial" w:hAnsi="Arial" w:cs="Arial"/>
                <w:b/>
                <w:bCs/>
                <w:sz w:val="21"/>
                <w:szCs w:val="21"/>
                <w:lang w:val="en-US" w:eastAsia="zh-CN"/>
              </w:rPr>
              <w:t>252</w:t>
            </w:r>
          </w:p>
        </w:tc>
        <w:tc>
          <w:tcPr>
            <w:tcW w:w="1749" w:type="dxa"/>
            <w:vAlign w:val="center"/>
          </w:tcPr>
          <w:p>
            <w:pPr>
              <w:widowControl w:val="0"/>
              <w:jc w:val="center"/>
              <w:rPr>
                <w:rFonts w:hint="default" w:ascii="Arial" w:hAnsi="Arial" w:eastAsia="宋体" w:cs="Arial"/>
                <w:b/>
                <w:bCs/>
                <w:sz w:val="21"/>
                <w:szCs w:val="21"/>
                <w:lang w:val="en-US" w:eastAsia="zh-CN" w:bidi="ar-SA"/>
              </w:rPr>
            </w:pPr>
            <w:r>
              <w:rPr>
                <w:rFonts w:hint="eastAsia" w:ascii="Arial" w:hAnsi="Arial" w:cs="Arial"/>
                <w:b/>
                <w:bCs/>
                <w:sz w:val="21"/>
                <w:szCs w:val="21"/>
                <w:lang w:val="en-US" w:eastAsia="zh-CN"/>
              </w:rPr>
              <w:t>286</w:t>
            </w:r>
          </w:p>
        </w:tc>
        <w:tc>
          <w:tcPr>
            <w:tcW w:w="1783" w:type="dxa"/>
            <w:vAlign w:val="center"/>
          </w:tcPr>
          <w:p>
            <w:pPr>
              <w:keepNext w:val="0"/>
              <w:keepLines w:val="0"/>
              <w:widowControl w:val="0"/>
              <w:suppressLineNumbers w:val="0"/>
              <w:jc w:val="center"/>
              <w:textAlignment w:val="auto"/>
              <w:rPr>
                <w:rFonts w:hint="default" w:ascii="Arial" w:hAnsi="Arial" w:eastAsia="宋体" w:cs="Arial"/>
                <w:b/>
                <w:bCs/>
                <w:i w:val="0"/>
                <w:iCs w:val="0"/>
                <w:sz w:val="21"/>
                <w:szCs w:val="21"/>
                <w:u w:val="none"/>
                <w:lang w:val="en-US" w:eastAsia="zh-CN" w:bidi="ar-SA"/>
              </w:rPr>
            </w:pPr>
            <w:r>
              <w:rPr>
                <w:rFonts w:hint="default" w:ascii="Arial" w:hAnsi="Arial" w:eastAsia="宋体" w:cs="Arial"/>
                <w:b/>
                <w:bCs/>
                <w:i w:val="0"/>
                <w:iCs w:val="0"/>
                <w:kern w:val="0"/>
                <w:sz w:val="21"/>
                <w:szCs w:val="21"/>
                <w:u w:val="none"/>
                <w:lang w:val="en-US" w:eastAsia="zh-CN" w:bidi="ar-SA"/>
              </w:rPr>
              <w:t>66493.5</w:t>
            </w:r>
          </w:p>
        </w:tc>
      </w:tr>
    </w:tbl>
    <w:p>
      <w:pPr>
        <w:pStyle w:val="3"/>
        <w:spacing w:line="360" w:lineRule="exact"/>
        <w:rPr>
          <w:rFonts w:hint="eastAsia" w:ascii="Arial" w:hAnsi="Arial" w:cs="Arial"/>
          <w:szCs w:val="21"/>
        </w:rPr>
      </w:pPr>
    </w:p>
    <w:p>
      <w:pPr>
        <w:pStyle w:val="3"/>
        <w:spacing w:line="360" w:lineRule="exact"/>
        <w:rPr>
          <w:rFonts w:hint="eastAsia" w:ascii="黑体" w:hAnsi="黑体" w:eastAsia="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 xml:space="preserve">表1-2 </w:t>
      </w:r>
      <w:r>
        <w:rPr>
          <w:rFonts w:hint="eastAsia" w:ascii="黑体" w:hAnsi="黑体" w:eastAsia="黑体" w:cs="黑体"/>
          <w:szCs w:val="21"/>
          <w:lang w:val="en-US" w:eastAsia="zh-CN"/>
        </w:rPr>
        <w:t>5月</w:t>
      </w:r>
      <w:r>
        <w:rPr>
          <w:rFonts w:hint="eastAsia" w:ascii="黑体" w:hAnsi="黑体" w:eastAsia="黑体" w:cs="黑体"/>
          <w:szCs w:val="21"/>
        </w:rPr>
        <w:t>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48" w:type="dxa"/>
            <w:vAlign w:val="center"/>
          </w:tcPr>
          <w:p>
            <w:pPr>
              <w:widowControl w:val="0"/>
              <w:spacing w:line="440" w:lineRule="exact"/>
              <w:jc w:val="center"/>
              <w:rPr>
                <w:rFonts w:hint="default" w:ascii="Arial" w:hAnsi="Arial" w:cs="Arial"/>
                <w:szCs w:val="21"/>
              </w:rPr>
            </w:pPr>
            <w:r>
              <w:rPr>
                <w:rFonts w:hint="default" w:ascii="Arial" w:hAnsi="Arial" w:cs="Arial"/>
                <w:szCs w:val="21"/>
              </w:rPr>
              <w:t>指标名称</w:t>
            </w:r>
          </w:p>
        </w:tc>
        <w:tc>
          <w:tcPr>
            <w:tcW w:w="1020" w:type="dxa"/>
            <w:vAlign w:val="center"/>
          </w:tcPr>
          <w:p>
            <w:pPr>
              <w:widowControl w:val="0"/>
              <w:spacing w:line="440" w:lineRule="exact"/>
              <w:jc w:val="center"/>
              <w:rPr>
                <w:rFonts w:hint="default" w:ascii="Arial" w:hAnsi="Arial" w:cs="Arial"/>
                <w:szCs w:val="21"/>
              </w:rPr>
            </w:pPr>
            <w:r>
              <w:rPr>
                <w:rFonts w:hint="default" w:ascii="Arial" w:hAnsi="Arial" w:cs="Arial"/>
                <w:szCs w:val="21"/>
              </w:rPr>
              <w:t>设计量m³/h</w:t>
            </w:r>
          </w:p>
        </w:tc>
        <w:tc>
          <w:tcPr>
            <w:tcW w:w="1325" w:type="dxa"/>
            <w:vAlign w:val="center"/>
          </w:tcPr>
          <w:p>
            <w:pPr>
              <w:widowControl w:val="0"/>
              <w:spacing w:line="440" w:lineRule="exact"/>
              <w:jc w:val="center"/>
              <w:rPr>
                <w:rFonts w:hint="default" w:ascii="Arial" w:hAnsi="Arial" w:cs="Arial"/>
                <w:szCs w:val="21"/>
              </w:rPr>
            </w:pPr>
            <w:r>
              <w:rPr>
                <w:rFonts w:hint="default" w:ascii="Arial" w:hAnsi="Arial" w:cs="Arial"/>
                <w:szCs w:val="21"/>
              </w:rPr>
              <w:t>上月总量m³</w:t>
            </w:r>
          </w:p>
        </w:tc>
        <w:tc>
          <w:tcPr>
            <w:tcW w:w="1333" w:type="dxa"/>
            <w:vAlign w:val="center"/>
          </w:tcPr>
          <w:p>
            <w:pPr>
              <w:widowControl w:val="0"/>
              <w:spacing w:line="440" w:lineRule="exact"/>
              <w:jc w:val="center"/>
              <w:rPr>
                <w:rFonts w:hint="default" w:ascii="Arial" w:hAnsi="Arial" w:cs="Arial"/>
                <w:szCs w:val="21"/>
              </w:rPr>
            </w:pPr>
            <w:r>
              <w:rPr>
                <w:rFonts w:hint="default" w:ascii="Arial" w:hAnsi="Arial" w:cs="Arial"/>
                <w:szCs w:val="21"/>
              </w:rPr>
              <w:t>上月平均m³/h</w:t>
            </w:r>
          </w:p>
        </w:tc>
        <w:tc>
          <w:tcPr>
            <w:tcW w:w="1341" w:type="dxa"/>
            <w:vAlign w:val="center"/>
          </w:tcPr>
          <w:p>
            <w:pPr>
              <w:widowControl w:val="0"/>
              <w:spacing w:line="440" w:lineRule="exact"/>
              <w:jc w:val="center"/>
              <w:rPr>
                <w:rFonts w:hint="default" w:ascii="Arial" w:hAnsi="Arial" w:cs="Arial"/>
                <w:szCs w:val="21"/>
              </w:rPr>
            </w:pPr>
            <w:r>
              <w:rPr>
                <w:rFonts w:hint="default" w:ascii="Arial" w:hAnsi="Arial" w:cs="Arial"/>
                <w:szCs w:val="21"/>
              </w:rPr>
              <w:t>本月总量m³</w:t>
            </w:r>
          </w:p>
        </w:tc>
        <w:tc>
          <w:tcPr>
            <w:tcW w:w="1153" w:type="dxa"/>
            <w:vAlign w:val="center"/>
          </w:tcPr>
          <w:p>
            <w:pPr>
              <w:widowControl w:val="0"/>
              <w:spacing w:line="440" w:lineRule="exact"/>
              <w:jc w:val="center"/>
              <w:rPr>
                <w:rFonts w:hint="default" w:ascii="Arial" w:hAnsi="Arial" w:cs="Arial"/>
                <w:szCs w:val="21"/>
              </w:rPr>
            </w:pPr>
            <w:r>
              <w:rPr>
                <w:rFonts w:hint="default" w:ascii="Arial" w:hAnsi="Arial" w:cs="Arial"/>
                <w:szCs w:val="21"/>
              </w:rPr>
              <w:t>本月平均m³/h</w:t>
            </w:r>
          </w:p>
        </w:tc>
        <w:tc>
          <w:tcPr>
            <w:tcW w:w="1416" w:type="dxa"/>
            <w:vAlign w:val="center"/>
          </w:tcPr>
          <w:p>
            <w:pPr>
              <w:widowControl w:val="0"/>
              <w:spacing w:line="440" w:lineRule="exact"/>
              <w:jc w:val="center"/>
              <w:rPr>
                <w:rFonts w:hint="default" w:ascii="Arial" w:hAnsi="Arial" w:cs="Arial"/>
                <w:szCs w:val="21"/>
              </w:rPr>
            </w:pPr>
            <w:r>
              <w:rPr>
                <w:rFonts w:hint="default"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hint="default" w:ascii="Arial" w:hAnsi="Arial" w:cs="Arial"/>
                <w:szCs w:val="21"/>
              </w:rPr>
            </w:pPr>
            <w:r>
              <w:rPr>
                <w:rFonts w:hint="default" w:ascii="Arial" w:hAnsi="Arial" w:cs="Arial"/>
                <w:szCs w:val="21"/>
              </w:rPr>
              <w:t>循环水外供</w:t>
            </w:r>
          </w:p>
        </w:tc>
        <w:tc>
          <w:tcPr>
            <w:tcW w:w="1020" w:type="dxa"/>
            <w:vAlign w:val="center"/>
          </w:tcPr>
          <w:p>
            <w:pPr>
              <w:widowControl/>
              <w:ind w:left="105" w:leftChars="50"/>
              <w:jc w:val="center"/>
              <w:rPr>
                <w:rFonts w:hint="default" w:ascii="Arial" w:hAnsi="Arial" w:cs="Arial"/>
                <w:sz w:val="21"/>
                <w:szCs w:val="21"/>
              </w:rPr>
            </w:pPr>
            <w:r>
              <w:rPr>
                <w:rFonts w:hint="default" w:ascii="Arial" w:hAnsi="Arial" w:cs="Arial"/>
                <w:sz w:val="21"/>
                <w:szCs w:val="21"/>
              </w:rPr>
              <w:t>27000</w:t>
            </w:r>
          </w:p>
        </w:tc>
        <w:tc>
          <w:tcPr>
            <w:tcW w:w="1325"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24232550</w:t>
            </w:r>
          </w:p>
        </w:tc>
        <w:tc>
          <w:tcPr>
            <w:tcW w:w="1333"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32570.6 </w:t>
            </w:r>
          </w:p>
        </w:tc>
        <w:tc>
          <w:tcPr>
            <w:tcW w:w="1341"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23376287</w:t>
            </w:r>
          </w:p>
        </w:tc>
        <w:tc>
          <w:tcPr>
            <w:tcW w:w="1153"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32467.0</w:t>
            </w:r>
          </w:p>
        </w:tc>
        <w:tc>
          <w:tcPr>
            <w:tcW w:w="1416"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117434220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hint="default" w:ascii="Arial" w:hAnsi="Arial" w:cs="Arial"/>
                <w:szCs w:val="21"/>
              </w:rPr>
            </w:pPr>
            <w:r>
              <w:rPr>
                <w:rFonts w:hint="default" w:ascii="Arial" w:hAnsi="Arial" w:cs="Arial"/>
                <w:szCs w:val="21"/>
              </w:rPr>
              <w:t>生产水补水</w:t>
            </w:r>
          </w:p>
        </w:tc>
        <w:tc>
          <w:tcPr>
            <w:tcW w:w="1020" w:type="dxa"/>
            <w:vAlign w:val="center"/>
          </w:tcPr>
          <w:p>
            <w:pPr>
              <w:widowControl/>
              <w:ind w:left="105" w:leftChars="50"/>
              <w:jc w:val="center"/>
              <w:rPr>
                <w:rFonts w:hint="default" w:ascii="Arial" w:hAnsi="Arial" w:cs="Arial"/>
                <w:sz w:val="21"/>
                <w:szCs w:val="21"/>
              </w:rPr>
            </w:pPr>
            <w:r>
              <w:rPr>
                <w:rFonts w:hint="default" w:ascii="Arial" w:hAnsi="Arial" w:cs="Arial"/>
                <w:sz w:val="21"/>
                <w:szCs w:val="21"/>
              </w:rPr>
              <w:t>486</w:t>
            </w:r>
          </w:p>
        </w:tc>
        <w:tc>
          <w:tcPr>
            <w:tcW w:w="1325"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130814.5 </w:t>
            </w:r>
          </w:p>
        </w:tc>
        <w:tc>
          <w:tcPr>
            <w:tcW w:w="1333"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175.8 </w:t>
            </w:r>
          </w:p>
        </w:tc>
        <w:tc>
          <w:tcPr>
            <w:tcW w:w="1341"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103853</w:t>
            </w:r>
          </w:p>
        </w:tc>
        <w:tc>
          <w:tcPr>
            <w:tcW w:w="1153" w:type="dxa"/>
            <w:vAlign w:val="center"/>
          </w:tcPr>
          <w:p>
            <w:pPr>
              <w:keepNext w:val="0"/>
              <w:keepLines w:val="0"/>
              <w:widowControl/>
              <w:suppressLineNumbers w:val="0"/>
              <w:ind w:left="105" w:leftChars="50"/>
              <w:jc w:val="center"/>
              <w:textAlignment w:val="auto"/>
              <w:rPr>
                <w:rFonts w:hint="eastAsia" w:ascii="Arial" w:hAnsi="Arial" w:eastAsia="宋体" w:cs="Arial"/>
                <w:i w:val="0"/>
                <w:iCs w:val="0"/>
                <w:color w:val="auto"/>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 xml:space="preserve">144.2 </w:t>
            </w:r>
          </w:p>
        </w:tc>
        <w:tc>
          <w:tcPr>
            <w:tcW w:w="1416"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603005.3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48" w:type="dxa"/>
            <w:vAlign w:val="center"/>
          </w:tcPr>
          <w:p>
            <w:pPr>
              <w:widowControl w:val="0"/>
              <w:spacing w:line="440" w:lineRule="exact"/>
              <w:jc w:val="center"/>
              <w:rPr>
                <w:rFonts w:hint="default" w:ascii="Arial" w:hAnsi="Arial" w:cs="Arial"/>
                <w:szCs w:val="21"/>
              </w:rPr>
            </w:pPr>
            <w:r>
              <w:rPr>
                <w:rFonts w:hint="default" w:ascii="Arial" w:hAnsi="Arial" w:cs="Arial"/>
                <w:szCs w:val="21"/>
              </w:rPr>
              <w:t>排污水量</w:t>
            </w:r>
          </w:p>
        </w:tc>
        <w:tc>
          <w:tcPr>
            <w:tcW w:w="1020" w:type="dxa"/>
            <w:vAlign w:val="center"/>
          </w:tcPr>
          <w:p>
            <w:pPr>
              <w:widowControl/>
              <w:ind w:left="105" w:leftChars="50"/>
              <w:jc w:val="center"/>
              <w:rPr>
                <w:rFonts w:hint="default" w:ascii="Arial" w:hAnsi="Arial" w:cs="Arial"/>
                <w:sz w:val="21"/>
                <w:szCs w:val="21"/>
              </w:rPr>
            </w:pPr>
            <w:r>
              <w:rPr>
                <w:rFonts w:hint="default" w:ascii="Arial" w:hAnsi="Arial" w:cs="Arial"/>
                <w:sz w:val="21"/>
                <w:szCs w:val="21"/>
              </w:rPr>
              <w:t>93.10</w:t>
            </w:r>
          </w:p>
        </w:tc>
        <w:tc>
          <w:tcPr>
            <w:tcW w:w="1325"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43680.3 </w:t>
            </w:r>
          </w:p>
        </w:tc>
        <w:tc>
          <w:tcPr>
            <w:tcW w:w="1333"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58.7 </w:t>
            </w:r>
          </w:p>
        </w:tc>
        <w:tc>
          <w:tcPr>
            <w:tcW w:w="1341"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43045.9</w:t>
            </w:r>
          </w:p>
        </w:tc>
        <w:tc>
          <w:tcPr>
            <w:tcW w:w="1153"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59.8</w:t>
            </w:r>
          </w:p>
        </w:tc>
        <w:tc>
          <w:tcPr>
            <w:tcW w:w="1416"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282894.3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hint="default" w:ascii="Arial" w:hAnsi="Arial" w:cs="Arial"/>
                <w:szCs w:val="21"/>
              </w:rPr>
            </w:pPr>
            <w:r>
              <w:rPr>
                <w:rFonts w:hint="default" w:ascii="Arial" w:hAnsi="Arial" w:cs="Arial"/>
                <w:szCs w:val="21"/>
              </w:rPr>
              <w:t>回用水补水</w:t>
            </w:r>
          </w:p>
        </w:tc>
        <w:tc>
          <w:tcPr>
            <w:tcW w:w="1020" w:type="dxa"/>
            <w:vAlign w:val="center"/>
          </w:tcPr>
          <w:p>
            <w:pPr>
              <w:widowControl/>
              <w:ind w:left="105" w:leftChars="50"/>
              <w:jc w:val="center"/>
              <w:rPr>
                <w:rFonts w:hint="default" w:ascii="Arial" w:hAnsi="Arial" w:cs="Arial"/>
                <w:sz w:val="21"/>
                <w:szCs w:val="21"/>
              </w:rPr>
            </w:pPr>
            <w:r>
              <w:rPr>
                <w:rFonts w:hint="default" w:ascii="Arial" w:hAnsi="Arial" w:cs="Arial"/>
                <w:sz w:val="21"/>
                <w:szCs w:val="21"/>
              </w:rPr>
              <w:t>165</w:t>
            </w:r>
          </w:p>
        </w:tc>
        <w:tc>
          <w:tcPr>
            <w:tcW w:w="1325"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68770.9 </w:t>
            </w:r>
          </w:p>
        </w:tc>
        <w:tc>
          <w:tcPr>
            <w:tcW w:w="1333" w:type="dxa"/>
            <w:vAlign w:val="center"/>
          </w:tcPr>
          <w:p>
            <w:pPr>
              <w:keepNext w:val="0"/>
              <w:keepLines w:val="0"/>
              <w:widowControl/>
              <w:suppressLineNumbers w:val="0"/>
              <w:ind w:left="105" w:leftChars="50"/>
              <w:jc w:val="center"/>
              <w:textAlignment w:val="auto"/>
              <w:rPr>
                <w:rFonts w:hint="default" w:ascii="Arial" w:hAnsi="Arial" w:cs="Arial"/>
                <w:sz w:val="21"/>
                <w:szCs w:val="21"/>
              </w:rPr>
            </w:pPr>
            <w:r>
              <w:rPr>
                <w:rFonts w:hint="default" w:ascii="Arial" w:hAnsi="Arial" w:eastAsia="宋体" w:cs="Arial"/>
                <w:i w:val="0"/>
                <w:iCs w:val="0"/>
                <w:color w:val="auto"/>
                <w:kern w:val="0"/>
                <w:sz w:val="21"/>
                <w:szCs w:val="21"/>
                <w:u w:val="none"/>
                <w:lang w:val="en-US" w:eastAsia="zh-CN" w:bidi="ar"/>
              </w:rPr>
              <w:t xml:space="preserve">92.4 </w:t>
            </w:r>
          </w:p>
        </w:tc>
        <w:tc>
          <w:tcPr>
            <w:tcW w:w="1341"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76765.8</w:t>
            </w:r>
          </w:p>
        </w:tc>
        <w:tc>
          <w:tcPr>
            <w:tcW w:w="1153"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106.6</w:t>
            </w:r>
          </w:p>
        </w:tc>
        <w:tc>
          <w:tcPr>
            <w:tcW w:w="1416"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326308.1</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Cs w:val="21"/>
        </w:rPr>
      </w:pPr>
      <w:r>
        <w:rPr>
          <w:rFonts w:hint="eastAsia" w:ascii="宋体" w:hAnsi="宋体" w:eastAsia="宋体" w:cs="宋体"/>
          <w:sz w:val="21"/>
          <w:szCs w:val="21"/>
        </w:rPr>
        <w:t>本月一循正常运行，各项控制指标在控制范围内。累计外供循环水</w:t>
      </w:r>
      <w:r>
        <w:rPr>
          <w:rFonts w:hint="eastAsia" w:ascii="宋体" w:hAnsi="宋体" w:eastAsia="宋体" w:cs="宋体"/>
          <w:i w:val="0"/>
          <w:iCs w:val="0"/>
          <w:color w:val="000000"/>
          <w:kern w:val="0"/>
          <w:sz w:val="20"/>
          <w:szCs w:val="20"/>
          <w:u w:val="none"/>
          <w:lang w:val="en-US" w:eastAsia="zh-CN" w:bidi="ar"/>
        </w:rPr>
        <w:t>23376287</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，平均</w:t>
      </w:r>
      <w:r>
        <w:rPr>
          <w:rFonts w:hint="eastAsia" w:ascii="宋体" w:hAnsi="宋体" w:eastAsia="宋体" w:cs="宋体"/>
          <w:i w:val="0"/>
          <w:iCs w:val="0"/>
          <w:color w:val="000000"/>
          <w:kern w:val="0"/>
          <w:sz w:val="20"/>
          <w:szCs w:val="20"/>
          <w:u w:val="none"/>
          <w:lang w:val="en-US" w:eastAsia="zh-CN" w:bidi="ar"/>
        </w:rPr>
        <w:t>32467.06</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/h。生产水补水总量</w:t>
      </w:r>
      <w:r>
        <w:rPr>
          <w:rFonts w:hint="eastAsia" w:ascii="宋体" w:hAnsi="宋体" w:eastAsia="宋体" w:cs="宋体"/>
          <w:i w:val="0"/>
          <w:iCs w:val="0"/>
          <w:color w:val="000000"/>
          <w:kern w:val="0"/>
          <w:sz w:val="20"/>
          <w:szCs w:val="20"/>
          <w:u w:val="none"/>
          <w:lang w:val="en-US" w:eastAsia="zh-CN" w:bidi="ar"/>
        </w:rPr>
        <w:t>103853</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，平均</w:t>
      </w:r>
      <w:r>
        <w:rPr>
          <w:rFonts w:hint="eastAsia" w:ascii="宋体" w:hAnsi="宋体" w:eastAsia="宋体" w:cs="宋体"/>
          <w:i w:val="0"/>
          <w:iCs w:val="0"/>
          <w:color w:val="000000"/>
          <w:kern w:val="0"/>
          <w:sz w:val="20"/>
          <w:szCs w:val="20"/>
          <w:u w:val="none"/>
          <w:lang w:val="en-US" w:eastAsia="zh-CN" w:bidi="ar"/>
        </w:rPr>
        <w:t>144.2</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/h。</w:t>
      </w:r>
      <w:r>
        <w:rPr>
          <w:rFonts w:hint="eastAsia" w:ascii="宋体" w:hAnsi="宋体" w:eastAsia="宋体" w:cs="宋体"/>
          <w:sz w:val="21"/>
          <w:szCs w:val="21"/>
          <w:lang w:val="en-US" w:eastAsia="zh-CN"/>
        </w:rPr>
        <w:t>相比上月下降</w:t>
      </w:r>
      <w:r>
        <w:rPr>
          <w:rFonts w:hint="eastAsia" w:cs="宋体"/>
          <w:sz w:val="21"/>
          <w:szCs w:val="21"/>
          <w:lang w:val="en-US" w:eastAsia="zh-CN"/>
        </w:rPr>
        <w:t>31.6</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主要原因</w:t>
      </w:r>
      <w:r>
        <w:rPr>
          <w:rFonts w:hint="eastAsia" w:cs="宋体"/>
          <w:sz w:val="21"/>
          <w:szCs w:val="21"/>
          <w:lang w:val="en-US" w:eastAsia="zh-CN"/>
        </w:rPr>
        <w:t>如下：1.</w:t>
      </w:r>
      <w:r>
        <w:rPr>
          <w:rFonts w:hint="eastAsia" w:ascii="宋体" w:hAnsi="宋体" w:eastAsia="宋体" w:cs="宋体"/>
          <w:sz w:val="21"/>
          <w:szCs w:val="21"/>
          <w:lang w:val="en-US" w:eastAsia="zh-CN"/>
        </w:rPr>
        <w:t>本月一循旁滤停车3天清理滤网，期间未进行反洗排水</w:t>
      </w:r>
      <w:r>
        <w:rPr>
          <w:rFonts w:hint="eastAsia" w:cs="宋体"/>
          <w:sz w:val="21"/>
          <w:szCs w:val="21"/>
          <w:lang w:val="en-US" w:eastAsia="zh-CN"/>
        </w:rPr>
        <w:t>；2.本月湖水产水与回用水补水均较上月有明显上</w:t>
      </w:r>
      <w:r>
        <w:rPr>
          <w:rFonts w:hint="eastAsia" w:ascii="宋体" w:hAnsi="宋体" w:eastAsia="宋体" w:cs="宋体"/>
          <w:sz w:val="21"/>
          <w:szCs w:val="21"/>
          <w:lang w:val="en-US" w:eastAsia="zh-CN"/>
        </w:rPr>
        <w:t>。</w:t>
      </w:r>
      <w:r>
        <w:rPr>
          <w:rFonts w:hint="eastAsia" w:ascii="宋体" w:hAnsi="宋体" w:eastAsia="宋体" w:cs="宋体"/>
          <w:sz w:val="21"/>
          <w:szCs w:val="21"/>
        </w:rPr>
        <w:t>回用水补水总量</w:t>
      </w:r>
      <w:r>
        <w:rPr>
          <w:rFonts w:hint="eastAsia" w:ascii="宋体" w:hAnsi="宋体" w:eastAsia="宋体" w:cs="宋体"/>
          <w:i w:val="0"/>
          <w:iCs w:val="0"/>
          <w:color w:val="000000"/>
          <w:kern w:val="0"/>
          <w:sz w:val="20"/>
          <w:szCs w:val="20"/>
          <w:u w:val="none"/>
          <w:lang w:val="en-US" w:eastAsia="zh-CN" w:bidi="ar"/>
        </w:rPr>
        <w:t>76765.8</w:t>
      </w:r>
      <w:r>
        <w:rPr>
          <w:rFonts w:hint="eastAsia" w:ascii="宋体" w:hAnsi="宋体" w:eastAsia="宋体" w:cs="宋体"/>
          <w:sz w:val="21"/>
          <w:szCs w:val="21"/>
        </w:rPr>
        <w:t>m³，平均</w:t>
      </w:r>
      <w:r>
        <w:rPr>
          <w:rFonts w:hint="eastAsia" w:ascii="宋体" w:hAnsi="宋体" w:eastAsia="宋体" w:cs="宋体"/>
          <w:i w:val="0"/>
          <w:iCs w:val="0"/>
          <w:color w:val="000000"/>
          <w:kern w:val="0"/>
          <w:sz w:val="20"/>
          <w:szCs w:val="20"/>
          <w:u w:val="none"/>
          <w:lang w:val="en-US" w:eastAsia="zh-CN" w:bidi="ar"/>
        </w:rPr>
        <w:t>106.6</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sz w:val="21"/>
          <w:szCs w:val="21"/>
        </w:rPr>
        <w:t>m³/h，相比上月</w:t>
      </w:r>
      <w:r>
        <w:rPr>
          <w:rFonts w:hint="eastAsia" w:ascii="宋体" w:hAnsi="宋体" w:eastAsia="宋体" w:cs="宋体"/>
          <w:sz w:val="21"/>
          <w:szCs w:val="21"/>
          <w:lang w:val="en-US" w:eastAsia="zh-CN"/>
        </w:rPr>
        <w:t>上涨1</w:t>
      </w:r>
      <w:r>
        <w:rPr>
          <w:rFonts w:hint="eastAsia" w:cs="宋体"/>
          <w:sz w:val="21"/>
          <w:szCs w:val="21"/>
          <w:lang w:val="en-US" w:eastAsia="zh-CN"/>
        </w:rPr>
        <w:t>4.2</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/h。本月一循按水质变化正常调节排污，平均排污量为</w:t>
      </w:r>
      <w:r>
        <w:rPr>
          <w:rFonts w:hint="eastAsia" w:cs="宋体"/>
          <w:i w:val="0"/>
          <w:iCs w:val="0"/>
          <w:color w:val="000000"/>
          <w:kern w:val="0"/>
          <w:sz w:val="21"/>
          <w:szCs w:val="21"/>
          <w:u w:val="none"/>
          <w:lang w:val="en-US" w:eastAsia="zh-CN" w:bidi="ar"/>
        </w:rPr>
        <w:t>59.8</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/h</w:t>
      </w:r>
      <w:r>
        <w:rPr>
          <w:rFonts w:hint="eastAsia" w:ascii="宋体" w:hAnsi="宋体" w:eastAsia="宋体" w:cs="宋体"/>
          <w:sz w:val="21"/>
          <w:szCs w:val="21"/>
          <w:lang w:eastAsia="zh-CN"/>
        </w:rPr>
        <w:t>，</w:t>
      </w:r>
      <w:r>
        <w:rPr>
          <w:rFonts w:hint="eastAsia" w:ascii="宋体" w:hAnsi="宋体" w:eastAsia="宋体" w:cs="宋体"/>
          <w:sz w:val="21"/>
          <w:szCs w:val="21"/>
        </w:rPr>
        <w:t>相比上月</w:t>
      </w:r>
      <w:r>
        <w:rPr>
          <w:rFonts w:hint="eastAsia" w:ascii="宋体" w:hAnsi="宋体" w:eastAsia="宋体" w:cs="宋体"/>
          <w:sz w:val="21"/>
          <w:szCs w:val="21"/>
          <w:lang w:val="en-US" w:eastAsia="zh-CN"/>
        </w:rPr>
        <w:t>数据持平。</w:t>
      </w:r>
      <w:bookmarkStart w:id="9" w:name="_Toc11601"/>
      <w:bookmarkStart w:id="10" w:name="_Toc28715"/>
    </w:p>
    <w:p>
      <w:pPr>
        <w:pStyle w:val="3"/>
        <w:spacing w:line="360" w:lineRule="exact"/>
        <w:rPr>
          <w:rFonts w:hint="eastAsia" w:ascii="黑体" w:hAnsi="黑体" w:eastAsia="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表1-3 </w:t>
      </w:r>
      <w:r>
        <w:rPr>
          <w:rFonts w:hint="eastAsia" w:ascii="黑体" w:hAnsi="黑体" w:eastAsia="黑体" w:cs="黑体"/>
          <w:szCs w:val="21"/>
          <w:lang w:val="en-US" w:eastAsia="zh-CN"/>
        </w:rPr>
        <w:t>5月</w:t>
      </w:r>
      <w:r>
        <w:rPr>
          <w:rFonts w:hint="eastAsia" w:ascii="黑体" w:hAnsi="黑体" w:eastAsia="黑体" w:cs="黑体"/>
          <w:szCs w:val="21"/>
        </w:rPr>
        <w:t>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指标名称</w:t>
            </w:r>
          </w:p>
        </w:tc>
        <w:tc>
          <w:tcPr>
            <w:tcW w:w="1117"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热水外供量</w:t>
            </w:r>
          </w:p>
        </w:tc>
        <w:tc>
          <w:tcPr>
            <w:tcW w:w="1117" w:type="dxa"/>
            <w:vAlign w:val="center"/>
          </w:tcPr>
          <w:p>
            <w:pPr>
              <w:widowControl/>
              <w:ind w:left="105" w:leftChars="50"/>
              <w:jc w:val="center"/>
              <w:rPr>
                <w:rFonts w:ascii="Arial" w:hAnsi="Arial" w:cs="Arial"/>
                <w:sz w:val="21"/>
                <w:szCs w:val="21"/>
              </w:rPr>
            </w:pPr>
            <w:r>
              <w:rPr>
                <w:rFonts w:ascii="Arial" w:hAnsi="Arial" w:cs="Arial"/>
                <w:sz w:val="21"/>
                <w:szCs w:val="21"/>
              </w:rPr>
              <w:t>1030</w:t>
            </w:r>
          </w:p>
        </w:tc>
        <w:tc>
          <w:tcPr>
            <w:tcW w:w="1266" w:type="dxa"/>
            <w:vAlign w:val="center"/>
          </w:tcPr>
          <w:p>
            <w:pPr>
              <w:widowControl/>
              <w:ind w:left="105" w:leftChars="50"/>
              <w:jc w:val="center"/>
              <w:rPr>
                <w:rFonts w:ascii="Arial" w:hAnsi="Arial" w:cs="Arial"/>
                <w:sz w:val="21"/>
                <w:szCs w:val="21"/>
              </w:rPr>
            </w:pPr>
            <w:r>
              <w:rPr>
                <w:rFonts w:ascii="Arial" w:hAnsi="Arial" w:cs="Arial"/>
                <w:sz w:val="21"/>
                <w:szCs w:val="21"/>
              </w:rPr>
              <w:t>439949</w:t>
            </w:r>
          </w:p>
        </w:tc>
        <w:tc>
          <w:tcPr>
            <w:tcW w:w="1422" w:type="dxa"/>
            <w:vAlign w:val="center"/>
          </w:tcPr>
          <w:p>
            <w:pPr>
              <w:widowControl/>
              <w:ind w:left="105" w:leftChars="50"/>
              <w:jc w:val="center"/>
              <w:rPr>
                <w:rFonts w:ascii="Arial" w:hAnsi="Arial" w:cs="Arial"/>
                <w:sz w:val="21"/>
                <w:szCs w:val="21"/>
              </w:rPr>
            </w:pPr>
            <w:r>
              <w:rPr>
                <w:rFonts w:ascii="Arial" w:hAnsi="Arial" w:cs="Arial"/>
                <w:sz w:val="21"/>
                <w:szCs w:val="21"/>
              </w:rPr>
              <w:t>591.3</w:t>
            </w:r>
          </w:p>
        </w:tc>
        <w:tc>
          <w:tcPr>
            <w:tcW w:w="1266" w:type="dxa"/>
            <w:vAlign w:val="center"/>
          </w:tcPr>
          <w:p>
            <w:pPr>
              <w:widowControl/>
              <w:ind w:left="105" w:leftChars="50"/>
              <w:jc w:val="center"/>
              <w:rPr>
                <w:rFonts w:hint="default" w:ascii="Arial" w:hAnsi="Arial" w:cs="Arial"/>
                <w:sz w:val="21"/>
                <w:szCs w:val="21"/>
                <w:lang w:val="en-US" w:eastAsia="zh-CN"/>
              </w:rPr>
            </w:pPr>
            <w:r>
              <w:rPr>
                <w:rFonts w:hint="default" w:ascii="Arial" w:hAnsi="Arial" w:cs="Arial"/>
                <w:sz w:val="21"/>
                <w:szCs w:val="21"/>
                <w:lang w:val="en-US" w:eastAsia="zh-CN"/>
              </w:rPr>
              <w:t>430770</w:t>
            </w:r>
          </w:p>
        </w:tc>
        <w:tc>
          <w:tcPr>
            <w:tcW w:w="1422" w:type="dxa"/>
            <w:vAlign w:val="center"/>
          </w:tcPr>
          <w:p>
            <w:pPr>
              <w:widowControl/>
              <w:ind w:left="105" w:leftChars="50"/>
              <w:jc w:val="center"/>
              <w:rPr>
                <w:rFonts w:hint="default" w:ascii="Arial" w:hAnsi="Arial" w:cs="Arial"/>
                <w:sz w:val="21"/>
                <w:szCs w:val="21"/>
                <w:lang w:val="en-US" w:eastAsia="zh-CN"/>
              </w:rPr>
            </w:pPr>
            <w:r>
              <w:rPr>
                <w:rFonts w:hint="default" w:ascii="Arial" w:hAnsi="Arial" w:cs="Arial"/>
                <w:sz w:val="21"/>
                <w:szCs w:val="21"/>
                <w:lang w:val="en-US" w:eastAsia="zh-CN"/>
              </w:rPr>
              <w:t>598.3</w:t>
            </w:r>
          </w:p>
        </w:tc>
        <w:tc>
          <w:tcPr>
            <w:tcW w:w="1266" w:type="dxa"/>
            <w:vAlign w:val="center"/>
          </w:tcPr>
          <w:p>
            <w:pPr>
              <w:widowControl/>
              <w:ind w:left="105" w:leftChars="50"/>
              <w:jc w:val="center"/>
              <w:rPr>
                <w:rFonts w:hint="default" w:ascii="Arial" w:hAnsi="Arial" w:cs="Arial"/>
                <w:sz w:val="21"/>
                <w:szCs w:val="21"/>
                <w:lang w:val="en-US" w:eastAsia="zh-CN"/>
              </w:rPr>
            </w:pPr>
            <w:r>
              <w:rPr>
                <w:rFonts w:hint="default" w:ascii="Arial" w:hAnsi="Arial" w:cs="Arial"/>
                <w:sz w:val="21"/>
                <w:szCs w:val="21"/>
                <w:lang w:val="en-US" w:eastAsia="zh-CN"/>
              </w:rPr>
              <w:t>2122030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除氧水补水</w:t>
            </w:r>
          </w:p>
        </w:tc>
        <w:tc>
          <w:tcPr>
            <w:tcW w:w="1117" w:type="dxa"/>
            <w:vAlign w:val="center"/>
          </w:tcPr>
          <w:p>
            <w:pPr>
              <w:widowControl/>
              <w:ind w:left="105" w:leftChars="50"/>
              <w:jc w:val="center"/>
              <w:rPr>
                <w:rFonts w:ascii="Arial" w:hAnsi="Arial" w:cs="Arial"/>
                <w:sz w:val="21"/>
                <w:szCs w:val="21"/>
              </w:rPr>
            </w:pPr>
            <w:r>
              <w:rPr>
                <w:rFonts w:ascii="Arial" w:hAnsi="Arial" w:cs="Arial"/>
                <w:sz w:val="21"/>
                <w:szCs w:val="21"/>
              </w:rPr>
              <w:t>12.5</w:t>
            </w:r>
          </w:p>
        </w:tc>
        <w:tc>
          <w:tcPr>
            <w:tcW w:w="1266" w:type="dxa"/>
            <w:vAlign w:val="center"/>
          </w:tcPr>
          <w:p>
            <w:pPr>
              <w:widowControl/>
              <w:ind w:left="105" w:leftChars="50"/>
              <w:jc w:val="center"/>
              <w:rPr>
                <w:rFonts w:ascii="Arial" w:hAnsi="Arial" w:cs="Arial"/>
                <w:sz w:val="21"/>
                <w:szCs w:val="21"/>
              </w:rPr>
            </w:pPr>
            <w:r>
              <w:rPr>
                <w:rFonts w:ascii="Arial" w:hAnsi="Arial" w:cs="Arial"/>
                <w:color w:val="auto"/>
                <w:sz w:val="21"/>
                <w:szCs w:val="21"/>
              </w:rPr>
              <w:t>384.2</w:t>
            </w:r>
            <w:r>
              <w:rPr>
                <w:rFonts w:hint="default" w:ascii="Arial" w:hAnsi="Arial" w:cs="Arial"/>
                <w:color w:val="auto"/>
                <w:sz w:val="21"/>
                <w:szCs w:val="21"/>
              </w:rPr>
              <w:t xml:space="preserve"> </w:t>
            </w:r>
          </w:p>
        </w:tc>
        <w:tc>
          <w:tcPr>
            <w:tcW w:w="1422" w:type="dxa"/>
            <w:vAlign w:val="center"/>
          </w:tcPr>
          <w:p>
            <w:pPr>
              <w:widowControl/>
              <w:ind w:left="105" w:leftChars="50"/>
              <w:jc w:val="center"/>
              <w:rPr>
                <w:rFonts w:ascii="Arial" w:hAnsi="Arial" w:cs="Arial"/>
                <w:sz w:val="21"/>
                <w:szCs w:val="21"/>
              </w:rPr>
            </w:pPr>
            <w:r>
              <w:rPr>
                <w:rFonts w:hint="default" w:ascii="Arial" w:hAnsi="Arial" w:cs="Arial"/>
                <w:color w:val="auto"/>
                <w:sz w:val="21"/>
                <w:szCs w:val="21"/>
              </w:rPr>
              <w:t>0.</w:t>
            </w:r>
            <w:r>
              <w:rPr>
                <w:rFonts w:ascii="Arial" w:hAnsi="Arial" w:cs="Arial"/>
                <w:color w:val="auto"/>
                <w:sz w:val="21"/>
                <w:szCs w:val="21"/>
              </w:rPr>
              <w:t>51</w:t>
            </w:r>
            <w:r>
              <w:rPr>
                <w:rFonts w:hint="default" w:ascii="Arial" w:hAnsi="Arial" w:cs="Arial"/>
                <w:color w:val="auto"/>
                <w:sz w:val="21"/>
                <w:szCs w:val="21"/>
              </w:rPr>
              <w:t xml:space="preserve"> </w:t>
            </w:r>
          </w:p>
        </w:tc>
        <w:tc>
          <w:tcPr>
            <w:tcW w:w="1266" w:type="dxa"/>
            <w:vAlign w:val="center"/>
          </w:tcPr>
          <w:p>
            <w:pPr>
              <w:widowControl/>
              <w:ind w:left="105" w:leftChars="50"/>
              <w:jc w:val="center"/>
              <w:rPr>
                <w:rFonts w:hint="default" w:ascii="Arial" w:hAnsi="Arial" w:cs="Arial"/>
                <w:color w:val="auto"/>
                <w:sz w:val="21"/>
                <w:szCs w:val="21"/>
                <w:lang w:val="en-US" w:eastAsia="zh-CN"/>
              </w:rPr>
            </w:pPr>
            <w:r>
              <w:rPr>
                <w:rFonts w:hint="default" w:ascii="Arial" w:hAnsi="Arial" w:cs="Arial"/>
                <w:color w:val="auto"/>
                <w:sz w:val="21"/>
                <w:szCs w:val="21"/>
                <w:lang w:val="en-US" w:eastAsia="zh-CN"/>
              </w:rPr>
              <w:t>2210.6</w:t>
            </w:r>
          </w:p>
        </w:tc>
        <w:tc>
          <w:tcPr>
            <w:tcW w:w="1422" w:type="dxa"/>
            <w:vAlign w:val="center"/>
          </w:tcPr>
          <w:p>
            <w:pPr>
              <w:keepNext w:val="0"/>
              <w:keepLines w:val="0"/>
              <w:widowControl/>
              <w:suppressLineNumbers w:val="0"/>
              <w:ind w:left="105" w:leftChars="50"/>
              <w:jc w:val="center"/>
              <w:textAlignment w:val="auto"/>
              <w:rPr>
                <w:rFonts w:hint="default" w:ascii="Arial" w:hAnsi="Arial" w:eastAsia="宋体" w:cs="Arial"/>
                <w:i w:val="0"/>
                <w:iCs w:val="0"/>
                <w:color w:val="auto"/>
                <w:sz w:val="21"/>
                <w:szCs w:val="21"/>
                <w:u w:val="none"/>
                <w:lang w:val="en-US" w:eastAsia="zh-CN" w:bidi="ar-SA"/>
              </w:rPr>
            </w:pPr>
            <w:r>
              <w:rPr>
                <w:rFonts w:hint="default" w:ascii="Arial" w:hAnsi="Arial" w:eastAsia="宋体" w:cs="Arial"/>
                <w:i w:val="0"/>
                <w:iCs w:val="0"/>
                <w:color w:val="auto"/>
                <w:kern w:val="0"/>
                <w:sz w:val="21"/>
                <w:szCs w:val="21"/>
                <w:u w:val="none"/>
                <w:lang w:val="en-US" w:eastAsia="zh-CN" w:bidi="ar"/>
              </w:rPr>
              <w:t>3.1</w:t>
            </w:r>
          </w:p>
        </w:tc>
        <w:tc>
          <w:tcPr>
            <w:tcW w:w="1266" w:type="dxa"/>
            <w:vAlign w:val="center"/>
          </w:tcPr>
          <w:p>
            <w:pPr>
              <w:widowControl/>
              <w:ind w:left="105" w:leftChars="50"/>
              <w:jc w:val="center"/>
              <w:rPr>
                <w:rFonts w:hint="default" w:ascii="Arial" w:hAnsi="Arial" w:cs="Arial"/>
                <w:color w:val="auto"/>
                <w:sz w:val="21"/>
                <w:szCs w:val="21"/>
                <w:lang w:val="en-US" w:eastAsia="zh-CN"/>
              </w:rPr>
            </w:pPr>
            <w:r>
              <w:rPr>
                <w:rFonts w:hint="default" w:ascii="Arial" w:hAnsi="Arial" w:cs="Arial"/>
                <w:color w:val="auto"/>
                <w:sz w:val="21"/>
                <w:szCs w:val="21"/>
                <w:lang w:val="en-US" w:eastAsia="zh-CN"/>
              </w:rPr>
              <w:t>2883.2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蒸汽用量</w:t>
            </w:r>
          </w:p>
        </w:tc>
        <w:tc>
          <w:tcPr>
            <w:tcW w:w="1117" w:type="dxa"/>
            <w:vAlign w:val="center"/>
          </w:tcPr>
          <w:p>
            <w:pPr>
              <w:widowControl/>
              <w:ind w:left="105" w:leftChars="50"/>
              <w:jc w:val="center"/>
              <w:rPr>
                <w:rFonts w:ascii="Arial" w:hAnsi="Arial" w:cs="Arial"/>
                <w:sz w:val="21"/>
                <w:szCs w:val="21"/>
              </w:rPr>
            </w:pPr>
            <w:r>
              <w:rPr>
                <w:rFonts w:ascii="Arial" w:hAnsi="Arial" w:cs="Arial"/>
                <w:sz w:val="21"/>
                <w:szCs w:val="21"/>
              </w:rPr>
              <w:t>86</w:t>
            </w:r>
          </w:p>
        </w:tc>
        <w:tc>
          <w:tcPr>
            <w:tcW w:w="1266" w:type="dxa"/>
            <w:vAlign w:val="center"/>
          </w:tcPr>
          <w:p>
            <w:pPr>
              <w:widowControl/>
              <w:ind w:left="105" w:leftChars="50"/>
              <w:jc w:val="center"/>
              <w:rPr>
                <w:rFonts w:ascii="Arial" w:hAnsi="Arial" w:cs="Arial"/>
                <w:sz w:val="21"/>
                <w:szCs w:val="21"/>
              </w:rPr>
            </w:pPr>
            <w:r>
              <w:rPr>
                <w:rFonts w:hint="eastAsia" w:ascii="Arial" w:hAnsi="Arial" w:cs="Arial"/>
                <w:sz w:val="21"/>
                <w:szCs w:val="21"/>
              </w:rPr>
              <w:t>0.1</w:t>
            </w:r>
          </w:p>
        </w:tc>
        <w:tc>
          <w:tcPr>
            <w:tcW w:w="1422" w:type="dxa"/>
            <w:vAlign w:val="center"/>
          </w:tcPr>
          <w:p>
            <w:pPr>
              <w:widowControl/>
              <w:ind w:left="105" w:leftChars="50"/>
              <w:jc w:val="center"/>
              <w:rPr>
                <w:rFonts w:ascii="Arial" w:hAnsi="Arial" w:cs="Arial"/>
                <w:sz w:val="21"/>
                <w:szCs w:val="21"/>
              </w:rPr>
            </w:pPr>
            <w:r>
              <w:rPr>
                <w:rFonts w:hint="eastAsia" w:ascii="Arial" w:hAnsi="Arial" w:cs="Arial"/>
                <w:sz w:val="21"/>
                <w:szCs w:val="21"/>
              </w:rPr>
              <w:t>-</w:t>
            </w:r>
          </w:p>
        </w:tc>
        <w:tc>
          <w:tcPr>
            <w:tcW w:w="1266" w:type="dxa"/>
            <w:vAlign w:val="center"/>
          </w:tcPr>
          <w:p>
            <w:pPr>
              <w:widowControl/>
              <w:ind w:left="105" w:leftChars="50"/>
              <w:jc w:val="center"/>
              <w:rPr>
                <w:rFonts w:ascii="Arial" w:hAnsi="Arial" w:cs="Arial"/>
                <w:sz w:val="21"/>
                <w:szCs w:val="21"/>
              </w:rPr>
            </w:pPr>
            <w:r>
              <w:rPr>
                <w:rFonts w:hint="eastAsia" w:ascii="Arial" w:hAnsi="Arial" w:cs="Arial"/>
                <w:sz w:val="21"/>
                <w:szCs w:val="21"/>
              </w:rPr>
              <w:t>0.1</w:t>
            </w:r>
          </w:p>
        </w:tc>
        <w:tc>
          <w:tcPr>
            <w:tcW w:w="1422" w:type="dxa"/>
            <w:vAlign w:val="center"/>
          </w:tcPr>
          <w:p>
            <w:pPr>
              <w:widowControl/>
              <w:ind w:left="105" w:leftChars="50"/>
              <w:jc w:val="center"/>
              <w:rPr>
                <w:rFonts w:ascii="Arial" w:hAnsi="Arial" w:cs="Arial"/>
                <w:sz w:val="21"/>
                <w:szCs w:val="21"/>
              </w:rPr>
            </w:pPr>
            <w:r>
              <w:rPr>
                <w:rFonts w:hint="eastAsia" w:ascii="Arial" w:hAnsi="Arial" w:cs="Arial"/>
                <w:sz w:val="21"/>
                <w:szCs w:val="21"/>
              </w:rPr>
              <w:t>-</w:t>
            </w:r>
          </w:p>
        </w:tc>
        <w:tc>
          <w:tcPr>
            <w:tcW w:w="1266" w:type="dxa"/>
            <w:vAlign w:val="center"/>
          </w:tcPr>
          <w:p>
            <w:pPr>
              <w:widowControl/>
              <w:ind w:left="105" w:leftChars="50"/>
              <w:jc w:val="center"/>
              <w:rPr>
                <w:rFonts w:hint="default" w:ascii="Arial" w:hAnsi="Arial" w:cs="Arial"/>
                <w:sz w:val="21"/>
                <w:szCs w:val="21"/>
                <w:lang w:val="en-US" w:eastAsia="zh-CN"/>
              </w:rPr>
            </w:pPr>
            <w:r>
              <w:rPr>
                <w:rFonts w:hint="eastAsia" w:ascii="Arial" w:hAnsi="Arial" w:cs="Arial"/>
                <w:sz w:val="21"/>
                <w:szCs w:val="21"/>
              </w:rPr>
              <w:t>0.</w:t>
            </w:r>
            <w:r>
              <w:rPr>
                <w:rFonts w:hint="default" w:ascii="Arial" w:hAnsi="Arial" w:cs="Arial"/>
                <w:sz w:val="21"/>
                <w:szCs w:val="21"/>
                <w:lang w:val="en-US" w:eastAsia="zh-CN"/>
              </w:rPr>
              <w:t>5</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color w:val="000000" w:themeColor="text1"/>
          <w:szCs w:val="21"/>
          <w:lang w:val="en-US" w:eastAsia="zh-CN"/>
          <w14:textFill>
            <w14:solidFill>
              <w14:schemeClr w14:val="tx1"/>
            </w14:solidFill>
          </w14:textFill>
        </w:rPr>
      </w:pPr>
      <w:r>
        <w:rPr>
          <w:rFonts w:hint="eastAsia"/>
          <w:szCs w:val="21"/>
        </w:rPr>
        <w:t>本月热水站热水正常供气分装置、制冷站，累计外供热水</w:t>
      </w:r>
      <w:r>
        <w:rPr>
          <w:rFonts w:hint="eastAsia" w:ascii="宋体" w:hAnsi="宋体" w:cs="宋体"/>
          <w:sz w:val="21"/>
          <w:szCs w:val="21"/>
          <w:lang w:val="en-US" w:eastAsia="zh-CN"/>
        </w:rPr>
        <w:t>430770</w:t>
      </w:r>
      <w:r>
        <w:rPr>
          <w:rFonts w:hint="eastAsia"/>
          <w:szCs w:val="21"/>
        </w:rPr>
        <w:t>m³，</w:t>
      </w:r>
      <w:bookmarkStart w:id="11" w:name="_Hlk34041044"/>
      <w:r>
        <w:rPr>
          <w:rFonts w:hint="eastAsia"/>
          <w:szCs w:val="21"/>
        </w:rPr>
        <w:t>热水缓冲罐液位降至11.0m触发联锁除补充除氧水，其余全部采用3#海淡闪蒸凝液补充；按计调要求蒸汽阀略开，换热器处于热备状态</w:t>
      </w:r>
      <w:r>
        <w:rPr>
          <w:rFonts w:hint="eastAsia"/>
          <w:szCs w:val="21"/>
          <w:lang w:eastAsia="zh-CN"/>
        </w:rPr>
        <w:t>，</w:t>
      </w:r>
      <w:r>
        <w:rPr>
          <w:rFonts w:hint="eastAsia"/>
          <w:color w:val="000000" w:themeColor="text1"/>
          <w:szCs w:val="21"/>
          <w:lang w:val="en-US" w:eastAsia="zh-CN"/>
          <w14:textFill>
            <w14:solidFill>
              <w14:schemeClr w14:val="tx1"/>
            </w14:solidFill>
          </w14:textFill>
        </w:rPr>
        <w:t>本月除氧水消耗量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2248.4</w:t>
      </w:r>
      <w:r>
        <w:rPr>
          <w:rFonts w:hint="eastAsia"/>
          <w:color w:val="000000" w:themeColor="text1"/>
          <w:szCs w:val="21"/>
          <w:lang w:val="en-US" w:eastAsia="zh-CN"/>
          <w14:textFill>
            <w14:solidFill>
              <w14:schemeClr w14:val="tx1"/>
            </w14:solidFill>
          </w14:textFill>
        </w:rPr>
        <w:t>m³,主要原因为近期热水铁离子含量较高，为防止热水管网发生腐蚀现象，通过排补置换，故除氧水消耗量上升属正常现象。</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6月已针对除盐水补水量大情况采取定期置换措施，避免连续排污造成水资源浪费。</w:t>
      </w:r>
    </w:p>
    <w:bookmarkEnd w:id="11"/>
    <w:p>
      <w:pPr>
        <w:pStyle w:val="3"/>
        <w:spacing w:line="360" w:lineRule="exact"/>
        <w:rPr>
          <w:rFonts w:hint="eastAsia" w:ascii="黑体" w:hAnsi="黑体" w:eastAsia="黑体" w:cs="黑体"/>
          <w:szCs w:val="21"/>
        </w:rPr>
      </w:pPr>
      <w:bookmarkStart w:id="12" w:name="_Toc29375"/>
      <w:bookmarkStart w:id="13" w:name="_Toc23120"/>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 xml:space="preserve">表1-4 </w:t>
      </w:r>
      <w:r>
        <w:rPr>
          <w:rFonts w:hint="eastAsia" w:ascii="黑体" w:hAnsi="黑体" w:eastAsia="黑体" w:cs="黑体"/>
          <w:szCs w:val="21"/>
          <w:lang w:eastAsia="zh-CN"/>
        </w:rPr>
        <w:t>5月</w:t>
      </w:r>
      <w:r>
        <w:rPr>
          <w:rFonts w:hint="eastAsia" w:ascii="黑体" w:hAnsi="黑体" w:eastAsia="黑体" w:cs="黑体"/>
          <w:szCs w:val="21"/>
        </w:rPr>
        <w:t>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w:t>
            </w:r>
          </w:p>
        </w:tc>
        <w:tc>
          <w:tcPr>
            <w:tcW w:w="1212" w:type="dxa"/>
            <w:vAlign w:val="center"/>
          </w:tcPr>
          <w:p>
            <w:pPr>
              <w:widowControl/>
              <w:ind w:left="105" w:leftChars="50"/>
              <w:jc w:val="center"/>
              <w:rPr>
                <w:rFonts w:ascii="Arial" w:hAnsi="Arial" w:cs="Arial"/>
                <w:sz w:val="21"/>
                <w:szCs w:val="21"/>
              </w:rPr>
            </w:pPr>
            <w:r>
              <w:rPr>
                <w:rFonts w:ascii="Arial" w:hAnsi="Arial" w:cs="Arial"/>
                <w:sz w:val="21"/>
                <w:szCs w:val="21"/>
              </w:rPr>
              <w:t>196170.4</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26</w:t>
            </w:r>
            <w:r>
              <w:rPr>
                <w:rFonts w:ascii="Arial" w:hAnsi="Arial" w:cs="Arial"/>
                <w:sz w:val="21"/>
                <w:szCs w:val="21"/>
              </w:rPr>
              <w:t>3.6</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162929 </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226.3</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912735.3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300</w:t>
            </w:r>
          </w:p>
        </w:tc>
        <w:tc>
          <w:tcPr>
            <w:tcW w:w="1212" w:type="dxa"/>
            <w:vAlign w:val="center"/>
          </w:tcPr>
          <w:p>
            <w:pPr>
              <w:widowControl/>
              <w:ind w:left="105" w:leftChars="50"/>
              <w:jc w:val="center"/>
              <w:rPr>
                <w:rFonts w:ascii="Arial" w:hAnsi="Arial" w:cs="Arial"/>
                <w:sz w:val="21"/>
                <w:szCs w:val="21"/>
              </w:rPr>
            </w:pPr>
            <w:r>
              <w:rPr>
                <w:rFonts w:ascii="Arial" w:hAnsi="Arial" w:cs="Arial"/>
                <w:sz w:val="21"/>
                <w:szCs w:val="21"/>
              </w:rPr>
              <w:t>71206</w:t>
            </w:r>
          </w:p>
        </w:tc>
        <w:tc>
          <w:tcPr>
            <w:tcW w:w="1359" w:type="dxa"/>
            <w:vAlign w:val="center"/>
          </w:tcPr>
          <w:p>
            <w:pPr>
              <w:widowControl/>
              <w:ind w:left="105" w:leftChars="50"/>
              <w:jc w:val="center"/>
              <w:rPr>
                <w:rFonts w:ascii="Arial" w:hAnsi="Arial" w:cs="Arial"/>
                <w:sz w:val="21"/>
                <w:szCs w:val="21"/>
              </w:rPr>
            </w:pPr>
            <w:r>
              <w:rPr>
                <w:rFonts w:ascii="Arial" w:hAnsi="Arial" w:cs="Arial"/>
                <w:sz w:val="21"/>
                <w:szCs w:val="21"/>
              </w:rPr>
              <w:t>95</w:t>
            </w:r>
            <w:r>
              <w:rPr>
                <w:rFonts w:hint="eastAsia" w:ascii="Arial" w:hAnsi="Arial" w:cs="Arial"/>
                <w:sz w:val="21"/>
                <w:szCs w:val="21"/>
                <w:lang w:val="en-US" w:eastAsia="zh-CN"/>
              </w:rPr>
              <w:t>.</w:t>
            </w:r>
            <w:r>
              <w:rPr>
                <w:rFonts w:hint="eastAsia" w:ascii="Arial" w:hAnsi="Arial" w:cs="Arial"/>
                <w:sz w:val="21"/>
                <w:szCs w:val="21"/>
              </w:rPr>
              <w:t>7</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65515.1</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91.0</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337399.1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150</w:t>
            </w:r>
          </w:p>
        </w:tc>
        <w:tc>
          <w:tcPr>
            <w:tcW w:w="1212" w:type="dxa"/>
            <w:vAlign w:val="center"/>
          </w:tcPr>
          <w:p>
            <w:pPr>
              <w:widowControl/>
              <w:ind w:left="105" w:leftChars="50"/>
              <w:jc w:val="center"/>
              <w:rPr>
                <w:rFonts w:ascii="Arial" w:hAnsi="Arial" w:cs="Arial"/>
                <w:sz w:val="21"/>
                <w:szCs w:val="21"/>
              </w:rPr>
            </w:pPr>
            <w:r>
              <w:rPr>
                <w:rFonts w:ascii="Arial" w:hAnsi="Arial" w:cs="Arial"/>
                <w:sz w:val="21"/>
                <w:szCs w:val="21"/>
              </w:rPr>
              <w:t>248.9</w:t>
            </w:r>
          </w:p>
        </w:tc>
        <w:tc>
          <w:tcPr>
            <w:tcW w:w="1359" w:type="dxa"/>
            <w:vAlign w:val="center"/>
          </w:tcPr>
          <w:p>
            <w:pPr>
              <w:widowControl/>
              <w:ind w:left="105" w:leftChars="50"/>
              <w:jc w:val="center"/>
              <w:rPr>
                <w:rFonts w:ascii="Arial" w:hAnsi="Arial" w:cs="Arial"/>
                <w:sz w:val="21"/>
                <w:szCs w:val="21"/>
              </w:rPr>
            </w:pPr>
            <w:r>
              <w:rPr>
                <w:rFonts w:ascii="Arial" w:hAnsi="Arial" w:cs="Arial"/>
                <w:sz w:val="21"/>
                <w:szCs w:val="21"/>
              </w:rPr>
              <w:t>0.33</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247.9</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0.34</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1302.1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w:t>
            </w:r>
          </w:p>
        </w:tc>
        <w:tc>
          <w:tcPr>
            <w:tcW w:w="1212" w:type="dxa"/>
            <w:vAlign w:val="center"/>
          </w:tcPr>
          <w:p>
            <w:pPr>
              <w:widowControl/>
              <w:ind w:left="105" w:leftChars="50"/>
              <w:jc w:val="center"/>
              <w:rPr>
                <w:rFonts w:ascii="Arial" w:hAnsi="Arial" w:cs="Arial"/>
                <w:sz w:val="21"/>
                <w:szCs w:val="21"/>
              </w:rPr>
            </w:pPr>
            <w:r>
              <w:rPr>
                <w:rFonts w:ascii="Arial" w:hAnsi="Arial" w:cs="Arial"/>
                <w:sz w:val="21"/>
                <w:szCs w:val="21"/>
              </w:rPr>
              <w:t>12186.7</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1</w:t>
            </w:r>
            <w:r>
              <w:rPr>
                <w:rFonts w:ascii="Arial" w:hAnsi="Arial" w:cs="Arial"/>
                <w:sz w:val="21"/>
                <w:szCs w:val="21"/>
              </w:rPr>
              <w:t>6</w:t>
            </w:r>
            <w:r>
              <w:rPr>
                <w:rFonts w:hint="eastAsia" w:ascii="Arial" w:hAnsi="Arial" w:cs="Arial"/>
                <w:sz w:val="21"/>
                <w:szCs w:val="21"/>
                <w:lang w:val="en-US" w:eastAsia="zh-CN"/>
              </w:rPr>
              <w:t>.</w:t>
            </w:r>
            <w:r>
              <w:rPr>
                <w:rFonts w:hint="eastAsia" w:ascii="Arial" w:hAnsi="Arial" w:cs="Arial"/>
                <w:sz w:val="21"/>
                <w:szCs w:val="21"/>
              </w:rPr>
              <w:t>3</w:t>
            </w:r>
            <w:r>
              <w:rPr>
                <w:rFonts w:ascii="Arial" w:hAnsi="Arial" w:cs="Arial"/>
                <w:sz w:val="21"/>
                <w:szCs w:val="21"/>
              </w:rPr>
              <w:t>7</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11663.8</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16.2</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51785.8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30</w:t>
            </w:r>
          </w:p>
        </w:tc>
        <w:tc>
          <w:tcPr>
            <w:tcW w:w="1212" w:type="dxa"/>
            <w:vAlign w:val="center"/>
          </w:tcPr>
          <w:p>
            <w:pPr>
              <w:widowControl/>
              <w:ind w:left="105" w:leftChars="50"/>
              <w:jc w:val="center"/>
              <w:rPr>
                <w:rFonts w:ascii="Arial" w:hAnsi="Arial" w:cs="Arial"/>
                <w:sz w:val="21"/>
                <w:szCs w:val="21"/>
              </w:rPr>
            </w:pPr>
            <w:r>
              <w:rPr>
                <w:rFonts w:hint="eastAsia" w:ascii="Arial" w:hAnsi="Arial" w:cs="Arial"/>
                <w:sz w:val="21"/>
                <w:szCs w:val="21"/>
              </w:rPr>
              <w:t>1</w:t>
            </w:r>
            <w:r>
              <w:rPr>
                <w:rFonts w:ascii="Arial" w:hAnsi="Arial" w:cs="Arial"/>
                <w:sz w:val="21"/>
                <w:szCs w:val="21"/>
              </w:rPr>
              <w:t>0794.6</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1</w:t>
            </w:r>
            <w:r>
              <w:rPr>
                <w:rFonts w:ascii="Arial" w:hAnsi="Arial" w:cs="Arial"/>
                <w:sz w:val="21"/>
                <w:szCs w:val="21"/>
              </w:rPr>
              <w:t>4.5</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10246.64</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14.2 </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45430.26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60</w:t>
            </w:r>
          </w:p>
        </w:tc>
        <w:tc>
          <w:tcPr>
            <w:tcW w:w="1212" w:type="dxa"/>
            <w:vAlign w:val="center"/>
          </w:tcPr>
          <w:p>
            <w:pPr>
              <w:widowControl/>
              <w:ind w:left="105" w:leftChars="50"/>
              <w:jc w:val="center"/>
              <w:rPr>
                <w:rFonts w:ascii="Arial" w:hAnsi="Arial" w:cs="Arial"/>
                <w:sz w:val="21"/>
                <w:szCs w:val="21"/>
              </w:rPr>
            </w:pPr>
            <w:r>
              <w:rPr>
                <w:rFonts w:hint="eastAsia" w:ascii="Arial" w:hAnsi="Arial" w:cs="Arial"/>
                <w:sz w:val="21"/>
                <w:szCs w:val="21"/>
              </w:rPr>
              <w:t>1240.7</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1.8</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1295</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1.8</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6176.4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ind w:left="105" w:leftChars="50"/>
              <w:jc w:val="center"/>
              <w:rPr>
                <w:rFonts w:ascii="Arial" w:hAnsi="Arial" w:cs="Arial"/>
                <w:sz w:val="21"/>
                <w:szCs w:val="21"/>
              </w:rPr>
            </w:pPr>
            <w:r>
              <w:rPr>
                <w:rFonts w:hint="eastAsia" w:ascii="Arial" w:hAnsi="Arial" w:cs="Arial"/>
                <w:sz w:val="21"/>
                <w:szCs w:val="21"/>
              </w:rPr>
              <w:t>60</w:t>
            </w:r>
          </w:p>
        </w:tc>
        <w:tc>
          <w:tcPr>
            <w:tcW w:w="1212" w:type="dxa"/>
            <w:vAlign w:val="center"/>
          </w:tcPr>
          <w:p>
            <w:pPr>
              <w:widowControl/>
              <w:ind w:left="105" w:leftChars="50"/>
              <w:jc w:val="center"/>
              <w:rPr>
                <w:rFonts w:ascii="Arial" w:hAnsi="Arial" w:cs="Arial"/>
                <w:sz w:val="21"/>
                <w:szCs w:val="21"/>
              </w:rPr>
            </w:pPr>
            <w:r>
              <w:rPr>
                <w:rFonts w:hint="eastAsia" w:ascii="Arial" w:hAnsi="Arial" w:cs="Arial"/>
                <w:sz w:val="21"/>
                <w:szCs w:val="21"/>
              </w:rPr>
              <w:t>264.3</w:t>
            </w:r>
          </w:p>
        </w:tc>
        <w:tc>
          <w:tcPr>
            <w:tcW w:w="1359" w:type="dxa"/>
            <w:vAlign w:val="center"/>
          </w:tcPr>
          <w:p>
            <w:pPr>
              <w:widowControl/>
              <w:ind w:left="105" w:leftChars="50"/>
              <w:jc w:val="center"/>
              <w:rPr>
                <w:rFonts w:ascii="Arial" w:hAnsi="Arial" w:cs="Arial"/>
                <w:sz w:val="21"/>
                <w:szCs w:val="21"/>
              </w:rPr>
            </w:pPr>
            <w:r>
              <w:rPr>
                <w:rFonts w:hint="eastAsia" w:ascii="Arial" w:hAnsi="Arial" w:cs="Arial"/>
                <w:sz w:val="21"/>
                <w:szCs w:val="21"/>
              </w:rPr>
              <w:t>0.4</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522.8</w:t>
            </w:r>
          </w:p>
        </w:tc>
        <w:tc>
          <w:tcPr>
            <w:tcW w:w="1359"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0.73 </w:t>
            </w:r>
          </w:p>
        </w:tc>
        <w:tc>
          <w:tcPr>
            <w:tcW w:w="1212" w:type="dxa"/>
            <w:vAlign w:val="center"/>
          </w:tcPr>
          <w:p>
            <w:pPr>
              <w:widowControl/>
              <w:ind w:left="105" w:leftChars="50"/>
              <w:jc w:val="center"/>
              <w:rPr>
                <w:rFonts w:hint="eastAsia" w:ascii="Arial" w:hAnsi="Arial" w:cs="Arial"/>
                <w:sz w:val="21"/>
                <w:szCs w:val="21"/>
                <w:lang w:val="en-US" w:eastAsia="zh-CN"/>
              </w:rPr>
            </w:pPr>
            <w:r>
              <w:rPr>
                <w:rFonts w:hint="eastAsia" w:ascii="Arial" w:hAnsi="Arial" w:cs="Arial"/>
                <w:sz w:val="21"/>
                <w:szCs w:val="21"/>
                <w:lang w:val="en-US" w:eastAsia="zh-CN"/>
              </w:rPr>
              <w:t xml:space="preserve">1458.9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rFonts w:hint="eastAsia" w:ascii="宋体" w:hAnsi="宋体" w:eastAsia="宋体" w:cs="宋体"/>
          <w:szCs w:val="21"/>
        </w:rPr>
      </w:pPr>
      <w:r>
        <w:rPr>
          <w:rFonts w:hint="eastAsia" w:ascii="宋体" w:hAnsi="宋体" w:eastAsia="宋体" w:cs="宋体"/>
          <w:szCs w:val="21"/>
        </w:rPr>
        <w:t>本月给水及消防加压泵站运行稳定，累计接收生产水</w:t>
      </w:r>
      <w:r>
        <w:rPr>
          <w:rFonts w:hint="eastAsia" w:ascii="宋体" w:hAnsi="宋体" w:cs="宋体"/>
          <w:sz w:val="21"/>
          <w:szCs w:val="21"/>
          <w:lang w:val="en-US" w:eastAsia="zh-CN"/>
        </w:rPr>
        <w:t>162929</w:t>
      </w:r>
      <w:r>
        <w:rPr>
          <w:rFonts w:hint="eastAsia" w:ascii="宋体" w:hAnsi="宋体" w:eastAsia="宋体" w:cs="宋体"/>
          <w:szCs w:val="21"/>
        </w:rPr>
        <w:t>m³，累计供主厂区、西部库区</w:t>
      </w:r>
      <w:r>
        <w:rPr>
          <w:rFonts w:hint="eastAsia" w:ascii="宋体" w:hAnsi="宋体" w:cs="宋体"/>
          <w:sz w:val="21"/>
          <w:szCs w:val="21"/>
          <w:lang w:val="en-US" w:eastAsia="zh-CN"/>
        </w:rPr>
        <w:t>65515.1</w:t>
      </w:r>
      <w:r>
        <w:rPr>
          <w:rFonts w:hint="eastAsia" w:ascii="宋体" w:hAnsi="宋体" w:eastAsia="宋体" w:cs="宋体"/>
          <w:szCs w:val="21"/>
        </w:rPr>
        <w:t>m</w:t>
      </w:r>
      <w:r>
        <w:rPr>
          <w:rFonts w:hint="eastAsia" w:ascii="宋体" w:hAnsi="宋体" w:eastAsia="宋体" w:cs="宋体"/>
          <w:szCs w:val="21"/>
          <w:vertAlign w:val="superscript"/>
        </w:rPr>
        <w:t>3</w:t>
      </w:r>
      <w:r>
        <w:rPr>
          <w:rFonts w:hint="eastAsia" w:ascii="宋体" w:hAnsi="宋体" w:eastAsia="宋体" w:cs="宋体"/>
          <w:szCs w:val="21"/>
        </w:rPr>
        <w:t>，累计供东码头</w:t>
      </w:r>
      <w:r>
        <w:rPr>
          <w:rFonts w:hint="eastAsia" w:ascii="宋体" w:hAnsi="宋体" w:cs="宋体"/>
          <w:sz w:val="21"/>
          <w:szCs w:val="21"/>
          <w:lang w:val="en-US" w:eastAsia="zh-CN"/>
        </w:rPr>
        <w:t>247.9</w:t>
      </w:r>
      <w:r>
        <w:rPr>
          <w:rFonts w:hint="eastAsia" w:ascii="宋体" w:hAnsi="宋体" w:eastAsia="宋体" w:cs="宋体"/>
          <w:szCs w:val="21"/>
        </w:rPr>
        <w:t>m³；接收水量与外供水量差值</w:t>
      </w:r>
      <w:r>
        <w:rPr>
          <w:rFonts w:hint="eastAsia" w:cs="宋体"/>
          <w:szCs w:val="21"/>
          <w:lang w:val="en-US" w:eastAsia="zh-CN"/>
        </w:rPr>
        <w:t>97166</w:t>
      </w:r>
      <w:r>
        <w:rPr>
          <w:rFonts w:hint="eastAsia" w:ascii="宋体" w:hAnsi="宋体" w:eastAsia="宋体" w:cs="宋体"/>
          <w:szCs w:val="21"/>
        </w:rPr>
        <w:t>m³，除各单位申请用消防水以外，主要差值在于一循生产水补水主要通过消防罐入口管线倒回自压至一循，生产水接收量与供出水量基本平衡。</w:t>
      </w:r>
    </w:p>
    <w:p>
      <w:pPr>
        <w:ind w:firstLine="420" w:firstLineChars="200"/>
        <w:jc w:val="both"/>
        <w:rPr>
          <w:rFonts w:hint="eastAsia" w:ascii="宋体" w:hAnsi="宋体" w:cs="宋体"/>
          <w:szCs w:val="21"/>
        </w:rPr>
      </w:pPr>
      <w:r>
        <w:rPr>
          <w:rFonts w:hint="eastAsia" w:ascii="宋体" w:hAnsi="宋体" w:eastAsia="宋体" w:cs="宋体"/>
          <w:szCs w:val="21"/>
        </w:rPr>
        <w:t>本月累计接收生活水</w:t>
      </w:r>
      <w:r>
        <w:rPr>
          <w:rFonts w:hint="eastAsia" w:ascii="宋体" w:hAnsi="宋体" w:cs="宋体"/>
          <w:sz w:val="21"/>
          <w:szCs w:val="21"/>
          <w:lang w:val="en-US" w:eastAsia="zh-CN"/>
        </w:rPr>
        <w:t>11663.8</w:t>
      </w:r>
      <w:r>
        <w:rPr>
          <w:rFonts w:hint="eastAsia" w:ascii="宋体" w:hAnsi="宋体" w:eastAsia="宋体" w:cs="宋体"/>
          <w:szCs w:val="21"/>
        </w:rPr>
        <w:t>m³，供给到各用户点。主厂区、东码头和西库区累计供水12</w:t>
      </w:r>
      <w:r>
        <w:rPr>
          <w:rFonts w:hint="eastAsia" w:cs="宋体"/>
          <w:szCs w:val="21"/>
          <w:lang w:val="en-US" w:eastAsia="zh-CN"/>
        </w:rPr>
        <w:t>064.44</w:t>
      </w:r>
      <w:r>
        <w:rPr>
          <w:rFonts w:hint="eastAsia" w:ascii="宋体" w:hAnsi="宋体" w:eastAsia="宋体" w:cs="宋体"/>
          <w:szCs w:val="21"/>
        </w:rPr>
        <w:t>m³，生活水接收与供出水量基本平衡。岛外生活已停止使用，本月生活给水全部来自海淡。</w:t>
      </w:r>
      <w:bookmarkStart w:id="14" w:name="_Toc13780"/>
      <w:bookmarkStart w:id="15" w:name="_Toc29656"/>
    </w:p>
    <w:p>
      <w:pPr>
        <w:pStyle w:val="3"/>
        <w:spacing w:line="360" w:lineRule="exact"/>
        <w:rPr>
          <w:rFonts w:hint="eastAsia" w:ascii="黑体" w:hAnsi="黑体" w:eastAsia="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 xml:space="preserve">表1-5 </w:t>
      </w:r>
      <w:r>
        <w:rPr>
          <w:rFonts w:hint="eastAsia" w:ascii="黑体" w:hAnsi="黑体" w:eastAsia="黑体" w:cs="黑体"/>
          <w:szCs w:val="21"/>
          <w:lang w:val="en-US" w:eastAsia="zh-CN"/>
        </w:rPr>
        <w:t>5月</w:t>
      </w:r>
      <w:r>
        <w:rPr>
          <w:rFonts w:hint="eastAsia" w:ascii="黑体" w:hAnsi="黑体" w:eastAsia="黑体" w:cs="黑体"/>
          <w:szCs w:val="21"/>
        </w:rPr>
        <w:t>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spacing w:line="440" w:lineRule="exact"/>
              <w:jc w:val="center"/>
              <w:rPr>
                <w:szCs w:val="21"/>
              </w:rPr>
            </w:pPr>
            <w:r>
              <w:rPr>
                <w:rFonts w:hint="eastAsia"/>
                <w:szCs w:val="21"/>
              </w:rPr>
              <w:t>指标名称</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含油污水处理量</w:t>
            </w:r>
          </w:p>
        </w:tc>
        <w:tc>
          <w:tcPr>
            <w:tcW w:w="895" w:type="dxa"/>
            <w:vAlign w:val="center"/>
          </w:tcPr>
          <w:p>
            <w:pPr>
              <w:widowControl w:val="0"/>
              <w:spacing w:line="440" w:lineRule="exact"/>
              <w:jc w:val="center"/>
              <w:rPr>
                <w:rFonts w:ascii="Arial" w:hAnsi="Arial" w:cs="Arial"/>
                <w:sz w:val="21"/>
                <w:szCs w:val="21"/>
              </w:rPr>
            </w:pPr>
            <w:r>
              <w:rPr>
                <w:rFonts w:ascii="Arial" w:hAnsi="Arial" w:cs="Arial"/>
                <w:sz w:val="21"/>
                <w:szCs w:val="21"/>
              </w:rPr>
              <w:t>200</w:t>
            </w:r>
          </w:p>
        </w:tc>
        <w:tc>
          <w:tcPr>
            <w:tcW w:w="1212" w:type="dxa"/>
            <w:vAlign w:val="center"/>
          </w:tcPr>
          <w:p>
            <w:pPr>
              <w:widowControl w:val="0"/>
              <w:spacing w:line="440" w:lineRule="exact"/>
              <w:jc w:val="center"/>
              <w:rPr>
                <w:rFonts w:ascii="Arial" w:hAnsi="Arial" w:cs="Arial"/>
                <w:sz w:val="21"/>
                <w:szCs w:val="21"/>
              </w:rPr>
            </w:pPr>
            <w:r>
              <w:rPr>
                <w:rFonts w:ascii="Arial" w:hAnsi="Arial" w:cs="Arial"/>
                <w:sz w:val="21"/>
                <w:szCs w:val="21"/>
              </w:rPr>
              <w:t>128044.4</w:t>
            </w:r>
          </w:p>
        </w:tc>
        <w:tc>
          <w:tcPr>
            <w:tcW w:w="1359" w:type="dxa"/>
            <w:vAlign w:val="center"/>
          </w:tcPr>
          <w:p>
            <w:pPr>
              <w:widowControl w:val="0"/>
              <w:spacing w:line="440" w:lineRule="exact"/>
              <w:jc w:val="center"/>
              <w:rPr>
                <w:rFonts w:ascii="Arial" w:hAnsi="Arial" w:cs="Arial"/>
                <w:sz w:val="21"/>
                <w:szCs w:val="21"/>
              </w:rPr>
            </w:pPr>
            <w:r>
              <w:rPr>
                <w:rFonts w:ascii="Arial" w:hAnsi="Arial" w:cs="Arial"/>
                <w:sz w:val="21"/>
                <w:szCs w:val="21"/>
              </w:rPr>
              <w:t>172.1</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117133.4</w:t>
            </w:r>
          </w:p>
        </w:tc>
        <w:tc>
          <w:tcPr>
            <w:tcW w:w="1359"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162.7</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624367.8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含盐污水处理量</w:t>
            </w:r>
          </w:p>
        </w:tc>
        <w:tc>
          <w:tcPr>
            <w:tcW w:w="895" w:type="dxa"/>
            <w:vAlign w:val="center"/>
          </w:tcPr>
          <w:p>
            <w:pPr>
              <w:widowControl w:val="0"/>
              <w:spacing w:line="440" w:lineRule="exact"/>
              <w:jc w:val="center"/>
              <w:rPr>
                <w:rFonts w:ascii="Arial" w:hAnsi="Arial" w:cs="Arial"/>
                <w:sz w:val="21"/>
                <w:szCs w:val="21"/>
              </w:rPr>
            </w:pPr>
            <w:r>
              <w:rPr>
                <w:rFonts w:ascii="Arial" w:hAnsi="Arial" w:cs="Arial"/>
                <w:sz w:val="21"/>
                <w:szCs w:val="21"/>
              </w:rPr>
              <w:t>200</w:t>
            </w:r>
          </w:p>
        </w:tc>
        <w:tc>
          <w:tcPr>
            <w:tcW w:w="1212" w:type="dxa"/>
            <w:vAlign w:val="center"/>
          </w:tcPr>
          <w:p>
            <w:pPr>
              <w:widowControl w:val="0"/>
              <w:spacing w:line="440" w:lineRule="exact"/>
              <w:jc w:val="center"/>
              <w:rPr>
                <w:rFonts w:ascii="Arial" w:hAnsi="Arial" w:cs="Arial"/>
                <w:sz w:val="21"/>
                <w:szCs w:val="21"/>
              </w:rPr>
            </w:pPr>
            <w:r>
              <w:rPr>
                <w:rFonts w:ascii="Arial" w:hAnsi="Arial" w:cs="Arial"/>
                <w:sz w:val="21"/>
                <w:szCs w:val="21"/>
              </w:rPr>
              <w:t>121368.4</w:t>
            </w:r>
          </w:p>
        </w:tc>
        <w:tc>
          <w:tcPr>
            <w:tcW w:w="1359" w:type="dxa"/>
            <w:vAlign w:val="center"/>
          </w:tcPr>
          <w:p>
            <w:pPr>
              <w:widowControl w:val="0"/>
              <w:spacing w:line="440" w:lineRule="exact"/>
              <w:jc w:val="center"/>
              <w:rPr>
                <w:rFonts w:ascii="Arial" w:hAnsi="Arial" w:cs="Arial"/>
                <w:sz w:val="21"/>
                <w:szCs w:val="21"/>
              </w:rPr>
            </w:pPr>
            <w:r>
              <w:rPr>
                <w:rFonts w:ascii="Arial" w:hAnsi="Arial" w:cs="Arial"/>
                <w:sz w:val="21"/>
                <w:szCs w:val="21"/>
              </w:rPr>
              <w:t>163.1</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113198.5</w:t>
            </w:r>
          </w:p>
        </w:tc>
        <w:tc>
          <w:tcPr>
            <w:tcW w:w="1359"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157.2</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623715.4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碱渣处理量</w:t>
            </w:r>
          </w:p>
        </w:tc>
        <w:tc>
          <w:tcPr>
            <w:tcW w:w="895" w:type="dxa"/>
            <w:vAlign w:val="center"/>
          </w:tcPr>
          <w:p>
            <w:pPr>
              <w:widowControl w:val="0"/>
              <w:spacing w:line="440" w:lineRule="exact"/>
              <w:jc w:val="center"/>
              <w:rPr>
                <w:rFonts w:ascii="Arial" w:hAnsi="Arial" w:cs="Arial"/>
                <w:color w:val="auto"/>
                <w:sz w:val="21"/>
                <w:szCs w:val="21"/>
              </w:rPr>
            </w:pPr>
            <w:r>
              <w:rPr>
                <w:rFonts w:ascii="Arial" w:hAnsi="Arial" w:cs="Arial"/>
                <w:color w:val="auto"/>
                <w:sz w:val="21"/>
                <w:szCs w:val="21"/>
              </w:rPr>
              <w:t>0.25</w:t>
            </w:r>
          </w:p>
        </w:tc>
        <w:tc>
          <w:tcPr>
            <w:tcW w:w="1212" w:type="dxa"/>
            <w:vAlign w:val="center"/>
          </w:tcPr>
          <w:p>
            <w:pPr>
              <w:widowControl w:val="0"/>
              <w:spacing w:line="440" w:lineRule="exact"/>
              <w:jc w:val="center"/>
              <w:rPr>
                <w:rFonts w:ascii="Arial" w:hAnsi="Arial" w:cs="Arial"/>
                <w:color w:val="auto"/>
                <w:sz w:val="21"/>
                <w:szCs w:val="21"/>
              </w:rPr>
            </w:pPr>
            <w:r>
              <w:rPr>
                <w:rFonts w:hint="default" w:ascii="Arial" w:hAnsi="Arial" w:cs="Arial"/>
                <w:color w:val="auto"/>
                <w:sz w:val="21"/>
                <w:szCs w:val="21"/>
                <w:lang w:val="en-US" w:eastAsia="zh-CN"/>
              </w:rPr>
              <w:t>102</w:t>
            </w:r>
          </w:p>
        </w:tc>
        <w:tc>
          <w:tcPr>
            <w:tcW w:w="1359" w:type="dxa"/>
            <w:vAlign w:val="center"/>
          </w:tcPr>
          <w:p>
            <w:pPr>
              <w:widowControl w:val="0"/>
              <w:spacing w:line="440" w:lineRule="exact"/>
              <w:jc w:val="center"/>
              <w:rPr>
                <w:rFonts w:ascii="Arial" w:hAnsi="Arial" w:cs="Arial"/>
                <w:color w:val="auto"/>
                <w:sz w:val="21"/>
                <w:szCs w:val="21"/>
              </w:rPr>
            </w:pPr>
            <w:r>
              <w:rPr>
                <w:rFonts w:hint="default" w:ascii="Arial" w:hAnsi="Arial" w:cs="Arial"/>
                <w:color w:val="auto"/>
                <w:sz w:val="21"/>
                <w:szCs w:val="21"/>
              </w:rPr>
              <w:t>0.</w:t>
            </w:r>
            <w:r>
              <w:rPr>
                <w:rFonts w:hint="default" w:ascii="Arial" w:hAnsi="Arial" w:cs="Arial"/>
                <w:color w:val="auto"/>
                <w:sz w:val="21"/>
                <w:szCs w:val="21"/>
                <w:lang w:val="en-US" w:eastAsia="zh-CN"/>
              </w:rPr>
              <w:t>14</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76.7</w:t>
            </w:r>
          </w:p>
        </w:tc>
        <w:tc>
          <w:tcPr>
            <w:tcW w:w="1359"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0.11</w:t>
            </w:r>
          </w:p>
        </w:tc>
        <w:tc>
          <w:tcPr>
            <w:tcW w:w="1212" w:type="dxa"/>
            <w:vAlign w:val="center"/>
          </w:tcPr>
          <w:p>
            <w:pPr>
              <w:widowControl w:val="0"/>
              <w:spacing w:line="440" w:lineRule="exact"/>
              <w:jc w:val="center"/>
              <w:rPr>
                <w:rFonts w:hint="default" w:ascii="Arial" w:hAnsi="Arial" w:cs="Arial"/>
                <w:sz w:val="21"/>
                <w:szCs w:val="21"/>
                <w:lang w:val="en-US" w:eastAsia="zh-CN"/>
              </w:rPr>
            </w:pPr>
            <w:r>
              <w:rPr>
                <w:rFonts w:hint="default" w:ascii="Arial" w:hAnsi="Arial" w:cs="Arial"/>
                <w:sz w:val="21"/>
                <w:szCs w:val="21"/>
                <w:lang w:val="en-US" w:eastAsia="zh-CN"/>
              </w:rPr>
              <w:t>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污泥外送量</w:t>
            </w:r>
          </w:p>
        </w:tc>
        <w:tc>
          <w:tcPr>
            <w:tcW w:w="895" w:type="dxa"/>
            <w:vAlign w:val="center"/>
          </w:tcPr>
          <w:p>
            <w:pPr>
              <w:widowControl w:val="0"/>
              <w:spacing w:line="440" w:lineRule="exact"/>
              <w:jc w:val="center"/>
              <w:rPr>
                <w:rFonts w:ascii="Arial" w:hAnsi="Arial" w:cs="Arial"/>
                <w:sz w:val="21"/>
                <w:szCs w:val="21"/>
              </w:rPr>
            </w:pPr>
            <w:r>
              <w:rPr>
                <w:rFonts w:ascii="Arial" w:hAnsi="Arial" w:cs="Arial"/>
                <w:sz w:val="21"/>
                <w:szCs w:val="21"/>
              </w:rPr>
              <w:t>-</w:t>
            </w:r>
          </w:p>
        </w:tc>
        <w:tc>
          <w:tcPr>
            <w:tcW w:w="1212"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359"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212"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359"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212"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污油外送量</w:t>
            </w:r>
          </w:p>
        </w:tc>
        <w:tc>
          <w:tcPr>
            <w:tcW w:w="895" w:type="dxa"/>
            <w:vAlign w:val="center"/>
          </w:tcPr>
          <w:p>
            <w:pPr>
              <w:widowControl w:val="0"/>
              <w:spacing w:line="440" w:lineRule="exact"/>
              <w:jc w:val="center"/>
              <w:rPr>
                <w:rFonts w:ascii="Arial" w:hAnsi="Arial" w:cs="Arial"/>
                <w:sz w:val="21"/>
                <w:szCs w:val="21"/>
              </w:rPr>
            </w:pPr>
            <w:r>
              <w:rPr>
                <w:rFonts w:ascii="Arial" w:hAnsi="Arial" w:cs="Arial"/>
                <w:sz w:val="21"/>
                <w:szCs w:val="21"/>
              </w:rPr>
              <w:t>-</w:t>
            </w:r>
          </w:p>
        </w:tc>
        <w:tc>
          <w:tcPr>
            <w:tcW w:w="1212"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359" w:type="dxa"/>
            <w:vAlign w:val="center"/>
          </w:tcPr>
          <w:p>
            <w:pPr>
              <w:widowControl w:val="0"/>
              <w:spacing w:line="440" w:lineRule="exact"/>
              <w:jc w:val="center"/>
              <w:rPr>
                <w:rFonts w:ascii="Arial" w:hAnsi="Arial" w:cs="Arial"/>
                <w:sz w:val="21"/>
                <w:szCs w:val="21"/>
              </w:rPr>
            </w:pPr>
            <w:r>
              <w:rPr>
                <w:rFonts w:hint="eastAsia" w:ascii="Arial" w:hAnsi="Arial" w:cs="Arial"/>
                <w:sz w:val="21"/>
                <w:szCs w:val="21"/>
              </w:rPr>
              <w:t>-</w:t>
            </w:r>
          </w:p>
        </w:tc>
        <w:tc>
          <w:tcPr>
            <w:tcW w:w="1212" w:type="dxa"/>
            <w:vAlign w:val="center"/>
          </w:tcPr>
          <w:p>
            <w:pPr>
              <w:widowControl w:val="0"/>
              <w:spacing w:line="440" w:lineRule="exact"/>
              <w:jc w:val="center"/>
              <w:rPr>
                <w:rFonts w:ascii="Arial" w:hAnsi="Arial" w:cs="Arial"/>
                <w:sz w:val="21"/>
                <w:szCs w:val="21"/>
              </w:rPr>
            </w:pPr>
            <w:r>
              <w:rPr>
                <w:rFonts w:hint="default" w:ascii="Arial" w:hAnsi="Arial" w:cs="Arial"/>
                <w:sz w:val="21"/>
                <w:szCs w:val="21"/>
                <w:lang w:val="en-US" w:eastAsia="zh-CN"/>
              </w:rPr>
              <w:t>340</w:t>
            </w:r>
          </w:p>
        </w:tc>
        <w:tc>
          <w:tcPr>
            <w:tcW w:w="1359" w:type="dxa"/>
            <w:vAlign w:val="center"/>
          </w:tcPr>
          <w:p>
            <w:pPr>
              <w:widowControl w:val="0"/>
              <w:spacing w:line="440" w:lineRule="exact"/>
              <w:jc w:val="center"/>
              <w:rPr>
                <w:rFonts w:hint="default" w:ascii="Arial" w:hAnsi="Arial" w:eastAsia="宋体" w:cs="Arial"/>
                <w:sz w:val="21"/>
                <w:szCs w:val="21"/>
                <w:lang w:val="en-US" w:eastAsia="zh-CN"/>
              </w:rPr>
            </w:pPr>
            <w:r>
              <w:rPr>
                <w:rFonts w:hint="default" w:ascii="Arial" w:hAnsi="Arial" w:cs="Arial"/>
                <w:sz w:val="21"/>
                <w:szCs w:val="21"/>
                <w:lang w:val="en-US" w:eastAsia="zh-CN"/>
              </w:rPr>
              <w:t>0.47</w:t>
            </w:r>
          </w:p>
        </w:tc>
        <w:tc>
          <w:tcPr>
            <w:tcW w:w="1212" w:type="dxa"/>
            <w:vAlign w:val="center"/>
          </w:tcPr>
          <w:p>
            <w:pPr>
              <w:widowControl w:val="0"/>
              <w:spacing w:line="440" w:lineRule="exact"/>
              <w:jc w:val="center"/>
              <w:rPr>
                <w:rFonts w:hint="default" w:ascii="Arial" w:hAnsi="Arial" w:eastAsia="宋体" w:cs="Arial"/>
                <w:sz w:val="21"/>
                <w:szCs w:val="21"/>
                <w:lang w:val="en-US" w:eastAsia="zh-CN"/>
              </w:rPr>
            </w:pPr>
            <w:r>
              <w:rPr>
                <w:rFonts w:hint="default" w:ascii="Arial" w:hAnsi="Arial" w:cs="Arial"/>
                <w:sz w:val="21"/>
                <w:szCs w:val="21"/>
                <w:lang w:val="en-US" w:eastAsia="zh-CN"/>
              </w:rPr>
              <w:t>421.92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szCs w:val="21"/>
        </w:rPr>
      </w:pPr>
      <w:r>
        <w:rPr>
          <w:rFonts w:hint="eastAsia"/>
          <w:szCs w:val="21"/>
        </w:rPr>
        <w:t>本月主要生产任务为含油与含盐系列分别接收和处理炼油主装置污水。处理量随上游各装置排水量决定，均在正常范围。含油污水处理量平均为</w:t>
      </w:r>
      <w:r>
        <w:rPr>
          <w:rFonts w:hint="eastAsia" w:ascii="Arial" w:hAnsi="Arial" w:cs="Arial"/>
          <w:sz w:val="21"/>
          <w:szCs w:val="21"/>
          <w:lang w:val="en-US" w:eastAsia="zh-CN"/>
        </w:rPr>
        <w:t>162.7</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r>
        <w:rPr>
          <w:rFonts w:hint="eastAsia"/>
          <w:szCs w:val="21"/>
        </w:rPr>
        <w:t>，含盐污水处理量平均为</w:t>
      </w:r>
      <w:r>
        <w:rPr>
          <w:rFonts w:hint="eastAsia" w:ascii="Arial" w:hAnsi="Arial" w:cs="Arial"/>
          <w:sz w:val="21"/>
          <w:szCs w:val="21"/>
          <w:lang w:val="en-US" w:eastAsia="zh-CN"/>
        </w:rPr>
        <w:t>157.2</w:t>
      </w:r>
      <w:r>
        <w:rPr>
          <w:rFonts w:hint="eastAsia"/>
          <w:szCs w:val="21"/>
        </w:rPr>
        <w:t xml:space="preserve"> </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r>
        <w:rPr>
          <w:rFonts w:hint="eastAsia"/>
          <w:szCs w:val="21"/>
        </w:rPr>
        <w:t>。</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color w:val="auto"/>
          <w:szCs w:val="21"/>
        </w:rPr>
      </w:pPr>
      <w:r>
        <w:rPr>
          <w:rFonts w:hint="eastAsia"/>
          <w:color w:val="auto"/>
          <w:szCs w:val="21"/>
        </w:rPr>
        <w:t>本月碱渣装置正常运行，共接收碱渣</w:t>
      </w:r>
      <w:r>
        <w:rPr>
          <w:rFonts w:hint="eastAsia"/>
          <w:color w:val="auto"/>
          <w:szCs w:val="21"/>
          <w:lang w:val="en-US" w:eastAsia="zh-CN"/>
        </w:rPr>
        <w:t>10.8</w:t>
      </w:r>
      <w:r>
        <w:rPr>
          <w:rFonts w:hint="eastAsia"/>
          <w:color w:val="auto"/>
          <w:szCs w:val="21"/>
        </w:rPr>
        <w:t>m</w:t>
      </w:r>
      <w:r>
        <w:rPr>
          <w:rFonts w:hint="eastAsia"/>
          <w:color w:val="auto"/>
          <w:szCs w:val="21"/>
          <w:vertAlign w:val="superscript"/>
        </w:rPr>
        <w:t>3</w:t>
      </w:r>
      <w:r>
        <w:rPr>
          <w:rFonts w:hint="eastAsia"/>
          <w:color w:val="auto"/>
          <w:szCs w:val="21"/>
        </w:rPr>
        <w:t>，处理碱渣</w:t>
      </w:r>
      <w:r>
        <w:rPr>
          <w:rFonts w:hint="eastAsia"/>
          <w:color w:val="auto"/>
          <w:szCs w:val="21"/>
          <w:lang w:val="en-US" w:eastAsia="zh-CN"/>
        </w:rPr>
        <w:t>76.7</w:t>
      </w:r>
      <w:r>
        <w:rPr>
          <w:rFonts w:hint="eastAsia"/>
          <w:color w:val="auto"/>
          <w:szCs w:val="21"/>
        </w:rPr>
        <w:t>m</w:t>
      </w:r>
      <w:r>
        <w:rPr>
          <w:rFonts w:hint="eastAsia"/>
          <w:color w:val="auto"/>
          <w:szCs w:val="21"/>
          <w:vertAlign w:val="superscript"/>
        </w:rPr>
        <w:t>3</w:t>
      </w:r>
      <w:r>
        <w:rPr>
          <w:rFonts w:hint="eastAsia"/>
          <w:color w:val="auto"/>
          <w:szCs w:val="21"/>
        </w:rPr>
        <w:t>，平均处理量</w:t>
      </w:r>
      <w:r>
        <w:rPr>
          <w:rFonts w:hint="eastAsia"/>
          <w:color w:val="auto"/>
          <w:szCs w:val="21"/>
          <w:lang w:val="en-US" w:eastAsia="zh-CN"/>
        </w:rPr>
        <w:t>0.11</w:t>
      </w:r>
      <w:r>
        <w:rPr>
          <w:rFonts w:hint="eastAsia"/>
          <w:color w:val="auto"/>
          <w:szCs w:val="21"/>
        </w:rPr>
        <w:t>m</w:t>
      </w:r>
      <w:r>
        <w:rPr>
          <w:rFonts w:hint="eastAsia"/>
          <w:color w:val="auto"/>
          <w:szCs w:val="21"/>
          <w:vertAlign w:val="superscript"/>
        </w:rPr>
        <w:t>3</w:t>
      </w:r>
      <w:r>
        <w:rPr>
          <w:rFonts w:hint="eastAsia"/>
          <w:color w:val="auto"/>
          <w:szCs w:val="21"/>
        </w:rPr>
        <w:t>/h，月底库存剩余</w:t>
      </w:r>
      <w:r>
        <w:rPr>
          <w:rFonts w:hint="eastAsia"/>
          <w:color w:val="auto"/>
          <w:szCs w:val="21"/>
          <w:lang w:val="en-US" w:eastAsia="zh-CN"/>
        </w:rPr>
        <w:t>232.85</w:t>
      </w:r>
      <w:r>
        <w:rPr>
          <w:rFonts w:hint="eastAsia"/>
          <w:color w:val="auto"/>
          <w:szCs w:val="21"/>
        </w:rPr>
        <w:t>m</w:t>
      </w:r>
      <w:r>
        <w:rPr>
          <w:rFonts w:hint="eastAsia"/>
          <w:color w:val="auto"/>
          <w:szCs w:val="21"/>
          <w:vertAlign w:val="superscript"/>
        </w:rPr>
        <w:t>3</w:t>
      </w:r>
      <w:r>
        <w:rPr>
          <w:rFonts w:hint="eastAsia"/>
          <w:color w:val="auto"/>
          <w:szCs w:val="21"/>
        </w:rPr>
        <w:t>。</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color w:val="auto"/>
          <w:szCs w:val="21"/>
        </w:rPr>
      </w:pPr>
      <w:r>
        <w:rPr>
          <w:rFonts w:hint="eastAsia"/>
          <w:color w:val="auto"/>
          <w:szCs w:val="21"/>
          <w:lang w:val="en-US" w:eastAsia="zh-CN"/>
        </w:rPr>
        <w:t>本月因电脱盐来水油含量较高，使得含盐调节罐油层达到1.7m，期间连续对含盐调节罐进行收油，本月污油外送量340m³。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Arial" w:hAnsi="Arial" w:cs="Arial"/>
          <w:color w:val="auto"/>
          <w:szCs w:val="21"/>
        </w:rPr>
      </w:pPr>
      <w:r>
        <w:rPr>
          <w:rFonts w:hint="eastAsia"/>
          <w:color w:val="auto"/>
          <w:szCs w:val="21"/>
        </w:rPr>
        <w:t>因5152-FI30631故障，无法计量本月污泥外送量（已向仪控部报修，采购部反馈备件预计5月20日发货）</w:t>
      </w:r>
      <w:r>
        <w:rPr>
          <w:rStyle w:val="34"/>
          <w:rFonts w:hint="eastAsia"/>
          <w:color w:val="auto"/>
        </w:rPr>
        <w:t>。</w:t>
      </w:r>
    </w:p>
    <w:p>
      <w:pPr>
        <w:pStyle w:val="2"/>
        <w:spacing w:before="0" w:beforeLines="0" w:after="0"/>
        <w:rPr>
          <w:rFonts w:ascii="Arial" w:hAnsi="Arial" w:cs="Arial"/>
        </w:rPr>
      </w:pPr>
      <w:bookmarkStart w:id="16" w:name="_Toc14536"/>
      <w:bookmarkStart w:id="17" w:name="_Toc8229"/>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hint="eastAsia" w:ascii="Arial" w:hAnsi="Arial" w:cs="Arial"/>
          <w:szCs w:val="21"/>
        </w:rPr>
      </w:pPr>
      <w:bookmarkStart w:id="18" w:name="_Toc10510"/>
      <w:bookmarkStart w:id="19" w:name="_Toc15728"/>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eastAsia="宋体" w:cs="Arial"/>
                <w:szCs w:val="21"/>
                <w:lang w:val="en-US" w:eastAsia="zh-CN"/>
              </w:rPr>
            </w:pPr>
            <w:r>
              <w:rPr>
                <w:rFonts w:hint="default" w:ascii="Arial" w:hAnsi="Arial" w:cs="Arial"/>
                <w:szCs w:val="21"/>
                <w:lang w:eastAsia="zh-CN"/>
              </w:rPr>
              <w:t>5月</w:t>
            </w:r>
            <w:r>
              <w:rPr>
                <w:rFonts w:hint="default" w:ascii="Arial" w:hAnsi="Arial" w:cs="Arial"/>
                <w:szCs w:val="21"/>
                <w:lang w:val="en-US" w:eastAsia="zh-CN"/>
              </w:rPr>
              <w:t>1</w:t>
            </w:r>
            <w:r>
              <w:rPr>
                <w:rFonts w:hint="default" w:ascii="Arial" w:hAnsi="Arial" w:cs="Arial"/>
                <w:szCs w:val="21"/>
              </w:rPr>
              <w:t>日</w:t>
            </w:r>
            <w:r>
              <w:rPr>
                <w:rFonts w:hint="default" w:ascii="Arial" w:hAnsi="Arial" w:cs="Arial"/>
                <w:szCs w:val="21"/>
                <w:lang w:val="en-US" w:eastAsia="zh-CN"/>
              </w:rPr>
              <w:t>-31日</w:t>
            </w:r>
          </w:p>
        </w:tc>
        <w:tc>
          <w:tcPr>
            <w:tcW w:w="7194" w:type="dxa"/>
          </w:tcPr>
          <w:p>
            <w:pPr>
              <w:widowControl w:val="0"/>
              <w:spacing w:line="440" w:lineRule="exact"/>
              <w:jc w:val="both"/>
              <w:rPr>
                <w:rFonts w:hint="default" w:ascii="Arial" w:hAnsi="Arial" w:eastAsia="宋体" w:cs="Arial"/>
                <w:szCs w:val="21"/>
                <w:lang w:val="en-US" w:eastAsia="zh-CN"/>
              </w:rPr>
            </w:pPr>
            <w:r>
              <w:rPr>
                <w:rFonts w:hint="default" w:ascii="Arial" w:hAnsi="Arial" w:cs="Arial"/>
                <w:szCs w:val="21"/>
                <w:lang w:val="en-US" w:eastAsia="zh-CN"/>
              </w:rPr>
              <w:t>按照调度指令每周二、周四、周六开湖水。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eastAsia="宋体" w:cs="Arial"/>
                <w:szCs w:val="21"/>
                <w:lang w:val="en-US" w:eastAsia="zh-CN"/>
              </w:rPr>
            </w:pPr>
            <w:r>
              <w:rPr>
                <w:rFonts w:hint="default" w:ascii="Arial" w:hAnsi="Arial" w:cs="Arial"/>
                <w:szCs w:val="21"/>
                <w:lang w:val="en-US" w:eastAsia="zh-CN"/>
              </w:rPr>
              <w:t>5月16日</w:t>
            </w:r>
          </w:p>
        </w:tc>
        <w:tc>
          <w:tcPr>
            <w:tcW w:w="7194" w:type="dxa"/>
          </w:tcPr>
          <w:p>
            <w:pPr>
              <w:widowControl w:val="0"/>
              <w:spacing w:line="440" w:lineRule="exact"/>
              <w:jc w:val="both"/>
              <w:rPr>
                <w:rFonts w:hint="default" w:ascii="Arial" w:hAnsi="Arial" w:eastAsia="宋体" w:cs="Arial"/>
                <w:szCs w:val="21"/>
                <w:lang w:val="en-US" w:eastAsia="zh-CN"/>
              </w:rPr>
            </w:pPr>
            <w:r>
              <w:rPr>
                <w:rFonts w:hint="default" w:ascii="Arial" w:hAnsi="Arial" w:cs="Arial"/>
                <w:szCs w:val="21"/>
                <w:lang w:val="en-US" w:eastAsia="zh-CN"/>
              </w:rPr>
              <w:t>湖水加药间NaoH、PAM加药设施增加反冲洗管线。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cs="Arial"/>
                <w:szCs w:val="21"/>
                <w:lang w:val="en-US" w:eastAsia="zh-CN"/>
              </w:rPr>
            </w:pPr>
            <w:r>
              <w:rPr>
                <w:rFonts w:hint="default" w:ascii="Arial" w:hAnsi="Arial" w:cs="Arial"/>
                <w:szCs w:val="21"/>
                <w:lang w:val="en-US" w:eastAsia="zh-CN"/>
              </w:rPr>
              <w:t>5月20日</w:t>
            </w:r>
          </w:p>
        </w:tc>
        <w:tc>
          <w:tcPr>
            <w:tcW w:w="7194" w:type="dxa"/>
          </w:tcPr>
          <w:p>
            <w:pPr>
              <w:widowControl w:val="0"/>
              <w:spacing w:line="440" w:lineRule="exact"/>
              <w:jc w:val="both"/>
              <w:rPr>
                <w:rFonts w:hint="default" w:ascii="Arial" w:hAnsi="Arial" w:cs="Arial"/>
                <w:szCs w:val="21"/>
                <w:lang w:val="en-US" w:eastAsia="zh-CN"/>
              </w:rPr>
            </w:pPr>
            <w:r>
              <w:rPr>
                <w:rFonts w:hint="default" w:ascii="Arial" w:hAnsi="Arial" w:cs="Arial"/>
                <w:szCs w:val="21"/>
                <w:lang w:val="en-US" w:eastAsia="zh-CN"/>
              </w:rPr>
              <w:t>配合1#海淡检修，湖水利用单元计划连续运行36小时。</w:t>
            </w:r>
          </w:p>
        </w:tc>
      </w:tr>
    </w:tbl>
    <w:p>
      <w:pPr>
        <w:spacing w:line="440" w:lineRule="exact"/>
        <w:rPr>
          <w:szCs w:val="21"/>
        </w:rPr>
      </w:pPr>
    </w:p>
    <w:p>
      <w:pPr>
        <w:pStyle w:val="3"/>
        <w:spacing w:line="360" w:lineRule="exact"/>
        <w:rPr>
          <w:rFonts w:ascii="宋体" w:hAnsi="宋体"/>
          <w:szCs w:val="21"/>
        </w:rPr>
      </w:pPr>
      <w:bookmarkStart w:id="20" w:name="_Toc11274"/>
      <w:bookmarkStart w:id="21" w:name="_Toc32750"/>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keepNext/>
              <w:widowControl w:val="0"/>
              <w:spacing w:line="440" w:lineRule="exact"/>
              <w:jc w:val="center"/>
              <w:rPr>
                <w:szCs w:val="21"/>
              </w:rPr>
            </w:pPr>
            <w:r>
              <w:rPr>
                <w:rFonts w:hint="eastAsia"/>
                <w:szCs w:val="21"/>
              </w:rPr>
              <w:t>日 期</w:t>
            </w:r>
          </w:p>
        </w:tc>
        <w:tc>
          <w:tcPr>
            <w:tcW w:w="7194" w:type="dxa"/>
          </w:tcPr>
          <w:p>
            <w:pPr>
              <w:keepNext/>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spacing w:line="440" w:lineRule="exact"/>
              <w:jc w:val="center"/>
              <w:rPr>
                <w:rFonts w:hint="default" w:ascii="Arial" w:hAnsi="Arial" w:eastAsia="宋体" w:cs="Arial"/>
                <w:szCs w:val="21"/>
                <w:lang w:val="en-US" w:eastAsia="zh-CN"/>
              </w:rPr>
            </w:pPr>
            <w:r>
              <w:rPr>
                <w:rFonts w:hint="eastAsia" w:ascii="Arial" w:hAnsi="Arial" w:cs="Arial"/>
                <w:szCs w:val="21"/>
                <w:lang w:eastAsia="zh-CN"/>
              </w:rPr>
              <w:t>5月</w:t>
            </w:r>
            <w:r>
              <w:rPr>
                <w:rFonts w:hint="eastAsia" w:ascii="Arial" w:hAnsi="Arial" w:cs="Arial"/>
                <w:szCs w:val="21"/>
                <w:lang w:val="en-US" w:eastAsia="zh-CN"/>
              </w:rPr>
              <w:t>1</w:t>
            </w:r>
            <w:r>
              <w:rPr>
                <w:rFonts w:hint="default" w:ascii="Arial" w:hAnsi="Arial" w:cs="Arial"/>
                <w:szCs w:val="21"/>
              </w:rPr>
              <w:t>日</w:t>
            </w:r>
            <w:r>
              <w:rPr>
                <w:rFonts w:hint="eastAsia" w:ascii="Arial" w:hAnsi="Arial" w:cs="Arial"/>
                <w:szCs w:val="21"/>
                <w:lang w:val="en-US" w:eastAsia="zh-CN"/>
              </w:rPr>
              <w:t>-31日</w:t>
            </w:r>
          </w:p>
        </w:tc>
        <w:tc>
          <w:tcPr>
            <w:tcW w:w="7194" w:type="dxa"/>
          </w:tcPr>
          <w:p>
            <w:pPr>
              <w:widowControl w:val="0"/>
              <w:spacing w:line="440" w:lineRule="exact"/>
              <w:jc w:val="both"/>
              <w:rPr>
                <w:rFonts w:hint="default" w:ascii="Arial" w:hAnsi="Arial" w:cs="Arial"/>
                <w:szCs w:val="21"/>
              </w:rPr>
            </w:pPr>
            <w:r>
              <w:rPr>
                <w:rFonts w:hint="default" w:ascii="Arial" w:hAnsi="Arial" w:cs="Arial"/>
                <w:szCs w:val="21"/>
              </w:rPr>
              <w:t>因装置区热水站热水中铁离子呈上升趋势，为避免设备腐蚀对热水进行小流量排补置换。</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15168"/>
      <w:bookmarkStart w:id="23" w:name="_Toc5479"/>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spacing w:line="440" w:lineRule="exact"/>
              <w:jc w:val="center"/>
              <w:rPr>
                <w:szCs w:val="21"/>
              </w:rPr>
            </w:pPr>
            <w:r>
              <w:rPr>
                <w:rFonts w:hint="eastAsia"/>
                <w:szCs w:val="21"/>
              </w:rPr>
              <w:t>日 期</w:t>
            </w:r>
          </w:p>
        </w:tc>
        <w:tc>
          <w:tcPr>
            <w:tcW w:w="7194" w:type="dxa"/>
            <w:vAlign w:val="center"/>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cs="Arial"/>
                <w:szCs w:val="21"/>
              </w:rPr>
            </w:pPr>
            <w:r>
              <w:rPr>
                <w:rFonts w:hint="eastAsia" w:ascii="Arial" w:hAnsi="Arial" w:cs="Arial"/>
                <w:szCs w:val="21"/>
                <w:lang w:eastAsia="zh-CN"/>
              </w:rPr>
              <w:t>5月</w:t>
            </w:r>
            <w:r>
              <w:rPr>
                <w:rFonts w:hint="default" w:ascii="Arial" w:hAnsi="Arial" w:cs="Arial"/>
                <w:szCs w:val="21"/>
              </w:rPr>
              <w:t>1日</w:t>
            </w:r>
            <w:r>
              <w:rPr>
                <w:rFonts w:hint="eastAsia" w:ascii="Arial" w:hAnsi="Arial" w:cs="Arial"/>
                <w:szCs w:val="21"/>
                <w:lang w:val="en-US" w:eastAsia="zh-CN"/>
              </w:rPr>
              <w:t>-</w:t>
            </w:r>
            <w:r>
              <w:rPr>
                <w:rFonts w:hint="default" w:ascii="Arial" w:hAnsi="Arial" w:cs="Arial"/>
                <w:szCs w:val="21"/>
              </w:rPr>
              <w:t>3</w:t>
            </w:r>
            <w:r>
              <w:rPr>
                <w:rFonts w:hint="eastAsia" w:ascii="Arial" w:hAnsi="Arial" w:cs="Arial"/>
                <w:szCs w:val="21"/>
                <w:lang w:val="en-US" w:eastAsia="zh-CN"/>
              </w:rPr>
              <w:t>1</w:t>
            </w:r>
            <w:r>
              <w:rPr>
                <w:rFonts w:hint="default" w:ascii="Arial" w:hAnsi="Arial" w:cs="Arial"/>
                <w:szCs w:val="21"/>
              </w:rPr>
              <w:t>日</w:t>
            </w:r>
          </w:p>
        </w:tc>
        <w:tc>
          <w:tcPr>
            <w:tcW w:w="7194" w:type="dxa"/>
            <w:vAlign w:val="center"/>
          </w:tcPr>
          <w:p>
            <w:pPr>
              <w:widowControl w:val="0"/>
              <w:spacing w:line="440" w:lineRule="exact"/>
              <w:jc w:val="left"/>
              <w:rPr>
                <w:rFonts w:hint="default" w:ascii="Arial" w:hAnsi="Arial" w:cs="Arial"/>
                <w:szCs w:val="21"/>
              </w:rPr>
            </w:pPr>
            <w:r>
              <w:rPr>
                <w:rFonts w:hint="default" w:ascii="Arial" w:hAnsi="Arial" w:cs="Arial"/>
                <w:szCs w:val="21"/>
              </w:rPr>
              <w:t>配合污水场接收港储不合格含盐污水，不定时停一循排污。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cs="Arial"/>
                <w:szCs w:val="21"/>
                <w:lang w:val="en-US" w:eastAsia="zh-CN"/>
              </w:rPr>
            </w:pPr>
            <w:r>
              <w:rPr>
                <w:rFonts w:hint="eastAsia" w:ascii="Arial" w:hAnsi="Arial" w:cs="Arial"/>
                <w:szCs w:val="21"/>
                <w:lang w:val="en-US" w:eastAsia="zh-CN"/>
              </w:rPr>
              <w:t>5月5日-7日</w:t>
            </w:r>
          </w:p>
        </w:tc>
        <w:tc>
          <w:tcPr>
            <w:tcW w:w="7194" w:type="dxa"/>
            <w:vAlign w:val="center"/>
          </w:tcPr>
          <w:p>
            <w:pPr>
              <w:widowControl w:val="0"/>
              <w:spacing w:line="440" w:lineRule="exact"/>
              <w:jc w:val="left"/>
              <w:rPr>
                <w:rFonts w:hint="default" w:ascii="Arial" w:hAnsi="Arial" w:cs="Arial"/>
                <w:szCs w:val="21"/>
                <w:lang w:val="en-US" w:eastAsia="zh-CN"/>
              </w:rPr>
            </w:pPr>
            <w:r>
              <w:rPr>
                <w:rFonts w:hint="eastAsia" w:ascii="Arial" w:hAnsi="Arial" w:cs="Arial"/>
                <w:szCs w:val="21"/>
                <w:lang w:val="en-US" w:eastAsia="zh-CN"/>
              </w:rPr>
              <w:t>一循8台旁滤过滤器打开查看内部淤泥情况和反洗滤网更换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hint="default" w:ascii="Arial" w:hAnsi="Arial" w:cs="Arial"/>
                <w:szCs w:val="21"/>
                <w:lang w:val="en-US" w:eastAsia="zh-CN"/>
              </w:rPr>
            </w:pPr>
            <w:r>
              <w:rPr>
                <w:rFonts w:hint="eastAsia" w:ascii="Arial" w:hAnsi="Arial" w:cs="Arial"/>
                <w:szCs w:val="21"/>
                <w:lang w:val="en-US" w:eastAsia="zh-CN"/>
              </w:rPr>
              <w:t>5月27日</w:t>
            </w:r>
          </w:p>
        </w:tc>
        <w:tc>
          <w:tcPr>
            <w:tcW w:w="7194" w:type="dxa"/>
            <w:vAlign w:val="center"/>
          </w:tcPr>
          <w:p>
            <w:pPr>
              <w:widowControl w:val="0"/>
              <w:spacing w:line="440" w:lineRule="exact"/>
              <w:jc w:val="left"/>
              <w:rPr>
                <w:rFonts w:hint="default" w:ascii="Arial" w:hAnsi="Arial" w:cs="Arial"/>
                <w:szCs w:val="21"/>
                <w:lang w:val="en-US" w:eastAsia="zh-CN"/>
              </w:rPr>
            </w:pPr>
            <w:r>
              <w:rPr>
                <w:rFonts w:hint="eastAsia" w:ascii="Arial" w:hAnsi="Arial" w:cs="Arial"/>
                <w:szCs w:val="21"/>
                <w:lang w:val="en-US" w:eastAsia="zh-CN"/>
              </w:rPr>
              <w:t>监测换热器自动疏水器更换为手阀。</w:t>
            </w:r>
          </w:p>
        </w:tc>
      </w:tr>
    </w:tbl>
    <w:p>
      <w:pPr>
        <w:widowControl w:val="0"/>
        <w:spacing w:line="440" w:lineRule="exact"/>
        <w:jc w:val="center"/>
        <w:rPr>
          <w:rFonts w:hint="eastAsia" w:ascii="Arial" w:hAnsi="Arial" w:cs="Arial"/>
          <w:szCs w:val="21"/>
          <w:lang w:eastAsia="zh-CN"/>
        </w:rPr>
      </w:pPr>
    </w:p>
    <w:p>
      <w:pPr>
        <w:pStyle w:val="3"/>
        <w:spacing w:line="360" w:lineRule="exact"/>
        <w:rPr>
          <w:rFonts w:ascii="宋体" w:hAnsi="宋体"/>
          <w:szCs w:val="21"/>
        </w:rPr>
      </w:pPr>
      <w:bookmarkStart w:id="24" w:name="_Toc12604"/>
      <w:bookmarkStart w:id="25" w:name="_Toc4897"/>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 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val="0"/>
              <w:spacing w:line="440" w:lineRule="exact"/>
              <w:jc w:val="center"/>
              <w:rPr>
                <w:rFonts w:hint="default" w:ascii="Arial" w:hAnsi="Arial" w:cs="Arial"/>
                <w:szCs w:val="21"/>
              </w:rPr>
            </w:pPr>
            <w:r>
              <w:rPr>
                <w:rFonts w:hint="eastAsia" w:ascii="Arial" w:hAnsi="Arial" w:cs="Arial"/>
                <w:szCs w:val="21"/>
                <w:lang w:eastAsia="zh-CN"/>
              </w:rPr>
              <w:t>5月</w:t>
            </w:r>
            <w:r>
              <w:rPr>
                <w:rFonts w:hint="default" w:ascii="Arial" w:hAnsi="Arial" w:cs="Arial"/>
                <w:szCs w:val="21"/>
              </w:rPr>
              <w:t>1日～3</w:t>
            </w:r>
            <w:r>
              <w:rPr>
                <w:rFonts w:hint="eastAsia" w:ascii="Arial" w:hAnsi="Arial" w:cs="Arial"/>
                <w:szCs w:val="21"/>
                <w:lang w:val="en-US" w:eastAsia="zh-CN"/>
              </w:rPr>
              <w:t>1</w:t>
            </w:r>
            <w:r>
              <w:rPr>
                <w:rFonts w:hint="default" w:ascii="Arial" w:hAnsi="Arial" w:cs="Arial"/>
                <w:szCs w:val="21"/>
              </w:rPr>
              <w:t>日</w:t>
            </w:r>
          </w:p>
        </w:tc>
        <w:tc>
          <w:tcPr>
            <w:tcW w:w="7194" w:type="dxa"/>
            <w:vAlign w:val="center"/>
          </w:tcPr>
          <w:p>
            <w:pPr>
              <w:widowControl w:val="0"/>
              <w:spacing w:line="440" w:lineRule="exact"/>
              <w:jc w:val="left"/>
              <w:rPr>
                <w:rFonts w:hint="default" w:ascii="Arial" w:hAnsi="Arial" w:cs="Arial"/>
                <w:szCs w:val="21"/>
              </w:rPr>
            </w:pPr>
            <w:r>
              <w:rPr>
                <w:rFonts w:hint="default" w:ascii="Arial" w:hAnsi="Arial" w:cs="Arial"/>
                <w:szCs w:val="21"/>
              </w:rPr>
              <w:t>每周三例行测试柴油泵，运行正常。</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31279"/>
      <w:bookmarkStart w:id="27" w:name="_Toc1625"/>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记事</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val="en-US" w:eastAsia="zh-CN"/>
              </w:rPr>
            </w:pPr>
            <w:r>
              <w:rPr>
                <w:rFonts w:hint="default" w:ascii="Arial" w:hAnsi="Arial" w:cs="Arial"/>
                <w:szCs w:val="21"/>
                <w:lang w:val="en-US" w:eastAsia="zh-CN"/>
              </w:rPr>
              <w:t>5月5日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近期含盐污水水量较少，将含盐B系列DAF切出单系列试运行。</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5月5日-31日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电脱盐污水粘稠发黑，油含量较高。</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5月6日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T3001油泥中间罐底部出泥管堵塞，开封堵冲洗已疏通。</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5月7日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T3006/3007多个罐堵塞，现已疏通。</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含油A系列CAF链条脱轨，非驱动端轴承找正。</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5月13日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接收处理炼油三部两桶高浓度环丁砜、三桶灵活气废液。</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5月16日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T3005B罐污油外送109.1t至港储部污油罐。</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5月16日-17日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T3001油泥中间罐底部出泥管堵塞，开封堵冲洗已疏通。</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5月17日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T3005A罐污油外送70.8t至港储部污油罐。</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5月19日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含油A系列CAF链条断链，今日已检修完毕正常投运。</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eastAsia="zh-CN"/>
              </w:rPr>
            </w:pPr>
            <w:r>
              <w:rPr>
                <w:rFonts w:hint="default" w:ascii="Arial" w:hAnsi="Arial" w:cs="Arial"/>
                <w:szCs w:val="21"/>
                <w:lang w:val="en-US" w:eastAsia="zh-CN"/>
              </w:rPr>
              <w:t>5月19日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接收4208罐区含油污水，硫化物为：1164mg/L。</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val="en-US" w:eastAsia="zh-CN"/>
              </w:rPr>
            </w:pPr>
            <w:r>
              <w:rPr>
                <w:rFonts w:hint="default" w:ascii="Arial" w:hAnsi="Arial" w:cs="Arial"/>
                <w:szCs w:val="21"/>
                <w:lang w:val="en-US" w:eastAsia="zh-CN"/>
              </w:rPr>
              <w:t>5月21日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含油A系列出水氨氮波动，初步判定为含油调节罐出水硫化物上升抑制硝化反应，故将硝化液回流提至180，并安排每班在A段投加两包葡萄糖。</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val="en-US" w:eastAsia="zh-CN"/>
              </w:rPr>
            </w:pPr>
            <w:r>
              <w:rPr>
                <w:rFonts w:hint="default" w:ascii="Arial" w:hAnsi="Arial" w:cs="Arial"/>
                <w:szCs w:val="21"/>
                <w:lang w:val="en-US" w:eastAsia="zh-CN"/>
              </w:rPr>
              <w:t>5月21日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T3005B罐污油外送145.5t至港储部污油罐。</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val="en-US" w:eastAsia="zh-CN"/>
              </w:rPr>
            </w:pPr>
            <w:r>
              <w:rPr>
                <w:rFonts w:hint="default" w:ascii="Arial" w:hAnsi="Arial" w:cs="Arial"/>
                <w:szCs w:val="21"/>
                <w:lang w:val="en-US" w:eastAsia="zh-CN"/>
              </w:rPr>
              <w:t>5月22日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eastAsia="zh-CN"/>
              </w:rPr>
            </w:pPr>
            <w:r>
              <w:rPr>
                <w:rFonts w:hint="default" w:ascii="Arial" w:hAnsi="Arial" w:cs="Arial"/>
                <w:szCs w:val="21"/>
                <w:lang w:val="en-US" w:eastAsia="zh-CN"/>
              </w:rPr>
              <w:t>T3005A罐污油外送123.7t至港储部污油罐。</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hint="default" w:ascii="Arial" w:hAnsi="Arial" w:cs="Arial"/>
                <w:szCs w:val="21"/>
                <w:lang w:val="en-US" w:eastAsia="zh-CN"/>
              </w:rPr>
            </w:pPr>
            <w:r>
              <w:rPr>
                <w:rFonts w:hint="default" w:ascii="Arial" w:hAnsi="Arial" w:cs="Arial"/>
                <w:szCs w:val="21"/>
                <w:lang w:val="en-US" w:eastAsia="zh-CN"/>
              </w:rPr>
              <w:t>5月</w:t>
            </w:r>
            <w:r>
              <w:rPr>
                <w:rFonts w:hint="eastAsia" w:ascii="Arial" w:hAnsi="Arial" w:cs="Arial"/>
                <w:szCs w:val="21"/>
                <w:lang w:val="en-US" w:eastAsia="zh-CN"/>
              </w:rPr>
              <w:t>16</w:t>
            </w:r>
            <w:r>
              <w:rPr>
                <w:rFonts w:hint="default" w:ascii="Arial" w:hAnsi="Arial" w:cs="Arial"/>
                <w:szCs w:val="21"/>
                <w:lang w:val="en-US" w:eastAsia="zh-CN"/>
              </w:rPr>
              <w:t>日</w:t>
            </w:r>
            <w:r>
              <w:rPr>
                <w:rFonts w:hint="eastAsia" w:ascii="Arial" w:hAnsi="Arial" w:cs="Arial"/>
                <w:szCs w:val="21"/>
                <w:lang w:val="en-US" w:eastAsia="zh-CN"/>
              </w:rPr>
              <w:t>-31日</w:t>
            </w:r>
          </w:p>
        </w:tc>
        <w:tc>
          <w:tcPr>
            <w:tcW w:w="7194" w:type="dxa"/>
            <w:tcBorders>
              <w:top w:val="single" w:color="auto" w:sz="4" w:space="0"/>
              <w:left w:val="nil"/>
              <w:bottom w:val="single" w:color="auto" w:sz="4" w:space="0"/>
              <w:right w:val="single" w:color="auto" w:sz="4" w:space="0"/>
            </w:tcBorders>
            <w:vAlign w:val="center"/>
          </w:tcPr>
          <w:p>
            <w:pPr>
              <w:spacing w:after="0" w:line="440" w:lineRule="exact"/>
              <w:rPr>
                <w:rFonts w:hint="default" w:ascii="Arial" w:hAnsi="Arial" w:cs="Arial"/>
                <w:szCs w:val="21"/>
                <w:lang w:val="en-US"/>
              </w:rPr>
            </w:pPr>
            <w:r>
              <w:rPr>
                <w:rFonts w:hint="eastAsia" w:ascii="Arial" w:hAnsi="Arial" w:cs="Arial"/>
                <w:szCs w:val="21"/>
                <w:lang w:val="en-US" w:eastAsia="zh-CN"/>
              </w:rPr>
              <w:t>本月累计处理港储部轻污油罐区油泥75桶油泥。</w:t>
            </w:r>
          </w:p>
        </w:tc>
      </w:tr>
    </w:tbl>
    <w:p>
      <w:pPr>
        <w:spacing w:line="440" w:lineRule="exact"/>
        <w:rPr>
          <w:rFonts w:hint="default" w:ascii="Arial" w:hAnsi="Arial" w:cs="Arial"/>
          <w:szCs w:val="21"/>
        </w:rPr>
      </w:pPr>
    </w:p>
    <w:p>
      <w:pPr>
        <w:pStyle w:val="3"/>
        <w:spacing w:line="360" w:lineRule="exact"/>
        <w:rPr>
          <w:rFonts w:hint="default" w:ascii="Arial" w:hAnsi="Arial" w:cs="Arial"/>
        </w:rPr>
      </w:pPr>
      <w:bookmarkStart w:id="28" w:name="_Toc15361"/>
      <w:bookmarkStart w:id="29" w:name="_Toc5189"/>
      <w:r>
        <w:rPr>
          <w:rFonts w:hint="default" w:ascii="Arial" w:hAnsi="Arial" w:cs="Arial"/>
          <w:szCs w:val="21"/>
        </w:rPr>
        <w:t xml:space="preserve">2.6 </w:t>
      </w:r>
      <w:r>
        <w:rPr>
          <w:rFonts w:hint="default"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spacing w:line="440" w:lineRule="exact"/>
              <w:jc w:val="center"/>
              <w:rPr>
                <w:rFonts w:hint="default" w:ascii="Arial" w:hAnsi="Arial" w:cs="Arial"/>
                <w:szCs w:val="21"/>
              </w:rPr>
            </w:pPr>
            <w:r>
              <w:rPr>
                <w:rFonts w:hint="default" w:ascii="Arial" w:hAnsi="Arial" w:cs="Arial"/>
                <w:szCs w:val="21"/>
              </w:rPr>
              <w:t>日 期</w:t>
            </w:r>
          </w:p>
        </w:tc>
        <w:tc>
          <w:tcPr>
            <w:tcW w:w="7194" w:type="dxa"/>
          </w:tcPr>
          <w:p>
            <w:pPr>
              <w:widowControl w:val="0"/>
              <w:spacing w:line="440" w:lineRule="exact"/>
              <w:jc w:val="center"/>
              <w:rPr>
                <w:rFonts w:hint="default" w:ascii="Arial" w:hAnsi="Arial" w:cs="Arial"/>
                <w:szCs w:val="21"/>
              </w:rPr>
            </w:pPr>
            <w:r>
              <w:rPr>
                <w:rFonts w:hint="default"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spacing w:line="440" w:lineRule="exact"/>
              <w:jc w:val="center"/>
              <w:rPr>
                <w:rFonts w:hint="default" w:ascii="Arial" w:hAnsi="Arial" w:eastAsia="宋体" w:cs="Arial"/>
                <w:szCs w:val="21"/>
                <w:lang w:val="en-US" w:eastAsia="zh-CN"/>
              </w:rPr>
            </w:pPr>
            <w:r>
              <w:rPr>
                <w:rFonts w:hint="eastAsia" w:ascii="Arial" w:hAnsi="Arial" w:cs="Arial"/>
                <w:szCs w:val="21"/>
                <w:lang w:eastAsia="zh-CN"/>
              </w:rPr>
              <w:t>5月</w:t>
            </w:r>
            <w:r>
              <w:rPr>
                <w:rFonts w:hint="eastAsia" w:ascii="Arial" w:hAnsi="Arial" w:cs="Arial"/>
                <w:szCs w:val="21"/>
                <w:lang w:val="en-US" w:eastAsia="zh-CN"/>
              </w:rPr>
              <w:t>1</w:t>
            </w:r>
            <w:r>
              <w:rPr>
                <w:rFonts w:hint="default" w:ascii="Arial" w:hAnsi="Arial" w:cs="Arial"/>
                <w:szCs w:val="21"/>
              </w:rPr>
              <w:t>日</w:t>
            </w:r>
            <w:r>
              <w:rPr>
                <w:rFonts w:hint="eastAsia" w:ascii="Arial" w:hAnsi="Arial" w:cs="Arial"/>
                <w:szCs w:val="21"/>
                <w:lang w:val="en-US" w:eastAsia="zh-CN"/>
              </w:rPr>
              <w:t>-30日</w:t>
            </w:r>
          </w:p>
        </w:tc>
        <w:tc>
          <w:tcPr>
            <w:tcW w:w="7194" w:type="dxa"/>
          </w:tcPr>
          <w:p>
            <w:pPr>
              <w:widowControl w:val="0"/>
              <w:spacing w:line="440" w:lineRule="exact"/>
              <w:jc w:val="both"/>
              <w:rPr>
                <w:rFonts w:hint="default" w:ascii="Arial" w:hAnsi="Arial" w:cs="Arial"/>
                <w:szCs w:val="21"/>
              </w:rPr>
            </w:pPr>
            <w:r>
              <w:rPr>
                <w:rFonts w:hint="default" w:ascii="Arial" w:hAnsi="Arial" w:cs="Arial"/>
                <w:szCs w:val="21"/>
              </w:rPr>
              <w:t>为避免设备腐蚀对冷冻水进行小流量排补置换。</w:t>
            </w:r>
          </w:p>
        </w:tc>
      </w:tr>
    </w:tbl>
    <w:p>
      <w:pPr>
        <w:spacing w:line="440" w:lineRule="exact"/>
        <w:rPr>
          <w:rFonts w:hint="default" w:ascii="Arial" w:hAnsi="Arial" w:cs="Arial"/>
          <w:szCs w:val="21"/>
        </w:rPr>
      </w:pPr>
    </w:p>
    <w:p>
      <w:pPr>
        <w:pStyle w:val="3"/>
        <w:spacing w:line="360" w:lineRule="exact"/>
        <w:rPr>
          <w:rFonts w:hint="default" w:ascii="Arial" w:hAnsi="Arial" w:cs="Arial"/>
        </w:rPr>
      </w:pPr>
      <w:bookmarkStart w:id="30" w:name="_Toc18551"/>
      <w:bookmarkStart w:id="31" w:name="_Toc11648"/>
      <w:r>
        <w:rPr>
          <w:rFonts w:hint="default" w:ascii="Arial" w:hAnsi="Arial" w:cs="Arial"/>
          <w:szCs w:val="21"/>
        </w:rPr>
        <w:t xml:space="preserve">2.7 </w:t>
      </w:r>
      <w:r>
        <w:rPr>
          <w:rFonts w:hint="default"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spacing w:line="440" w:lineRule="exact"/>
              <w:jc w:val="center"/>
              <w:rPr>
                <w:rFonts w:hint="default" w:ascii="Arial" w:hAnsi="Arial" w:cs="Arial"/>
                <w:szCs w:val="21"/>
              </w:rPr>
            </w:pPr>
            <w:r>
              <w:rPr>
                <w:rFonts w:hint="default" w:ascii="Arial" w:hAnsi="Arial" w:cs="Arial"/>
                <w:szCs w:val="21"/>
              </w:rPr>
              <w:t>日 期</w:t>
            </w:r>
          </w:p>
        </w:tc>
        <w:tc>
          <w:tcPr>
            <w:tcW w:w="7194" w:type="dxa"/>
          </w:tcPr>
          <w:p>
            <w:pPr>
              <w:widowControl w:val="0"/>
              <w:spacing w:line="440" w:lineRule="exact"/>
              <w:jc w:val="center"/>
              <w:rPr>
                <w:rFonts w:hint="default" w:ascii="Arial" w:hAnsi="Arial" w:cs="Arial"/>
                <w:szCs w:val="21"/>
              </w:rPr>
            </w:pPr>
            <w:r>
              <w:rPr>
                <w:rFonts w:hint="default"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440" w:lineRule="exact"/>
              <w:jc w:val="center"/>
              <w:rPr>
                <w:rFonts w:hint="default" w:ascii="Arial" w:hAnsi="Arial" w:cs="Arial"/>
                <w:szCs w:val="21"/>
              </w:rPr>
            </w:pPr>
            <w:r>
              <w:rPr>
                <w:rFonts w:hint="default" w:ascii="Arial" w:hAnsi="Arial" w:cs="Arial"/>
                <w:szCs w:val="21"/>
                <w:lang w:val="en-US" w:eastAsia="zh-CN"/>
              </w:rPr>
              <w:t>5月1日-8日</w:t>
            </w:r>
          </w:p>
        </w:tc>
        <w:tc>
          <w:tcPr>
            <w:tcW w:w="7194" w:type="dxa"/>
            <w:vAlign w:val="center"/>
          </w:tcPr>
          <w:p>
            <w:pPr>
              <w:widowControl w:val="0"/>
              <w:spacing w:after="0" w:line="440" w:lineRule="exact"/>
              <w:jc w:val="left"/>
              <w:rPr>
                <w:rFonts w:hint="default" w:ascii="Arial" w:hAnsi="Arial" w:cs="Arial"/>
                <w:szCs w:val="21"/>
              </w:rPr>
            </w:pPr>
            <w:r>
              <w:rPr>
                <w:rFonts w:hint="default" w:ascii="Arial" w:hAnsi="Arial" w:cs="Arial"/>
                <w:szCs w:val="21"/>
                <w:lang w:val="en-US" w:eastAsia="zh-CN"/>
              </w:rPr>
              <w:t>雨水事故池累计接收66t芳烃装置清洗“F802B空气预热器”产生的酸性废水。</w:t>
            </w:r>
          </w:p>
        </w:tc>
      </w:tr>
    </w:tbl>
    <w:p>
      <w:bookmarkStart w:id="32" w:name="_Toc19789"/>
      <w:bookmarkStart w:id="33" w:name="_Toc5107"/>
      <w:bookmarkStart w:id="34" w:name="_Toc42346711"/>
      <w:bookmarkStart w:id="35" w:name="_Toc34415485"/>
    </w:p>
    <w:p>
      <w:pPr>
        <w:pStyle w:val="2"/>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3"/>
        <w:spacing w:line="360" w:lineRule="exact"/>
        <w:rPr>
          <w:rFonts w:ascii="Arial" w:hAnsi="Arial" w:cs="Arial"/>
          <w:bCs w:val="0"/>
          <w:szCs w:val="20"/>
        </w:rPr>
      </w:pPr>
      <w:bookmarkStart w:id="36" w:name="_Toc34838813"/>
      <w:bookmarkStart w:id="37" w:name="_Toc47529327"/>
      <w:bookmarkStart w:id="38" w:name="_Toc37232474"/>
      <w:bookmarkStart w:id="39" w:name="_Toc42346713"/>
      <w:bookmarkStart w:id="40" w:name="_Toc27389"/>
      <w:bookmarkStart w:id="41" w:name="_Toc1995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spacing w:line="440" w:lineRule="exact"/>
              <w:jc w:val="center"/>
              <w:rPr>
                <w:rFonts w:hint="default" w:ascii="Arial" w:hAnsi="Arial" w:cs="Arial"/>
                <w:szCs w:val="21"/>
              </w:rPr>
            </w:pPr>
            <w:r>
              <w:rPr>
                <w:rFonts w:hint="default" w:ascii="Arial" w:hAnsi="Arial" w:cs="Arial"/>
                <w:szCs w:val="21"/>
              </w:rPr>
              <w:t>指标名称</w:t>
            </w:r>
          </w:p>
        </w:tc>
        <w:tc>
          <w:tcPr>
            <w:tcW w:w="708" w:type="dxa"/>
            <w:vMerge w:val="restart"/>
            <w:vAlign w:val="center"/>
          </w:tcPr>
          <w:p>
            <w:pPr>
              <w:spacing w:line="440" w:lineRule="exact"/>
              <w:jc w:val="center"/>
              <w:rPr>
                <w:rFonts w:hint="default" w:ascii="Arial" w:hAnsi="Arial" w:cs="Arial"/>
                <w:szCs w:val="21"/>
              </w:rPr>
            </w:pPr>
            <w:r>
              <w:rPr>
                <w:rFonts w:hint="default" w:ascii="Arial" w:hAnsi="Arial" w:cs="Arial"/>
                <w:szCs w:val="21"/>
              </w:rPr>
              <w:t>单位</w:t>
            </w:r>
          </w:p>
        </w:tc>
        <w:tc>
          <w:tcPr>
            <w:tcW w:w="2386" w:type="dxa"/>
            <w:gridSpan w:val="2"/>
            <w:noWrap/>
            <w:vAlign w:val="center"/>
          </w:tcPr>
          <w:p>
            <w:pPr>
              <w:spacing w:line="440" w:lineRule="exact"/>
              <w:jc w:val="center"/>
              <w:rPr>
                <w:rFonts w:hint="default" w:ascii="Arial" w:hAnsi="Arial" w:cs="Arial"/>
                <w:szCs w:val="21"/>
              </w:rPr>
            </w:pPr>
            <w:r>
              <w:rPr>
                <w:rFonts w:hint="default" w:ascii="Arial" w:hAnsi="Arial" w:cs="Arial"/>
                <w:szCs w:val="21"/>
              </w:rPr>
              <w:t>上月</w:t>
            </w:r>
          </w:p>
        </w:tc>
        <w:tc>
          <w:tcPr>
            <w:tcW w:w="2546" w:type="dxa"/>
            <w:gridSpan w:val="2"/>
            <w:noWrap/>
            <w:vAlign w:val="center"/>
          </w:tcPr>
          <w:p>
            <w:pPr>
              <w:spacing w:line="440" w:lineRule="exact"/>
              <w:jc w:val="center"/>
              <w:rPr>
                <w:rFonts w:hint="default" w:ascii="Arial" w:hAnsi="Arial" w:cs="Arial"/>
                <w:szCs w:val="21"/>
              </w:rPr>
            </w:pPr>
            <w:r>
              <w:rPr>
                <w:rFonts w:hint="default" w:ascii="Arial" w:hAnsi="Arial" w:cs="Arial"/>
                <w:szCs w:val="21"/>
              </w:rPr>
              <w:t>本月</w:t>
            </w:r>
          </w:p>
        </w:tc>
        <w:tc>
          <w:tcPr>
            <w:tcW w:w="2061" w:type="dxa"/>
            <w:vAlign w:val="center"/>
          </w:tcPr>
          <w:p>
            <w:pPr>
              <w:spacing w:line="440" w:lineRule="exact"/>
              <w:jc w:val="center"/>
              <w:rPr>
                <w:rFonts w:hint="default" w:ascii="Arial" w:hAnsi="Arial" w:cs="Arial"/>
                <w:szCs w:val="21"/>
              </w:rPr>
            </w:pPr>
            <w:r>
              <w:rPr>
                <w:rFonts w:hint="default"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spacing w:line="440" w:lineRule="exact"/>
              <w:jc w:val="center"/>
              <w:rPr>
                <w:rFonts w:hint="default" w:ascii="Arial" w:hAnsi="Arial" w:cs="Arial"/>
                <w:szCs w:val="21"/>
              </w:rPr>
            </w:pPr>
          </w:p>
        </w:tc>
        <w:tc>
          <w:tcPr>
            <w:tcW w:w="708" w:type="dxa"/>
            <w:vMerge w:val="continue"/>
            <w:vAlign w:val="center"/>
          </w:tcPr>
          <w:p>
            <w:pPr>
              <w:spacing w:line="440" w:lineRule="exact"/>
              <w:jc w:val="center"/>
              <w:rPr>
                <w:rFonts w:hint="default" w:ascii="Arial" w:hAnsi="Arial" w:cs="Arial"/>
                <w:szCs w:val="21"/>
              </w:rPr>
            </w:pPr>
          </w:p>
        </w:tc>
        <w:tc>
          <w:tcPr>
            <w:tcW w:w="1232"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1154"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1311"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1235"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2061" w:type="dxa"/>
            <w:vAlign w:val="center"/>
          </w:tcPr>
          <w:p>
            <w:pPr>
              <w:spacing w:line="440" w:lineRule="exact"/>
              <w:jc w:val="center"/>
              <w:rPr>
                <w:rFonts w:hint="default" w:ascii="Arial" w:hAnsi="Arial" w:cs="Arial"/>
                <w:szCs w:val="21"/>
              </w:rPr>
            </w:pPr>
            <w:r>
              <w:rPr>
                <w:rFonts w:hint="default"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hint="default" w:ascii="Arial" w:hAnsi="Arial" w:cs="Arial"/>
                <w:szCs w:val="21"/>
              </w:rPr>
            </w:pPr>
            <w:r>
              <w:rPr>
                <w:rFonts w:hint="default" w:ascii="Arial" w:hAnsi="Arial" w:cs="Arial"/>
                <w:szCs w:val="21"/>
              </w:rPr>
              <w:t>生产水</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1232" w:type="dxa"/>
            <w:noWrap/>
            <w:vAlign w:val="center"/>
          </w:tcPr>
          <w:p>
            <w:pPr>
              <w:spacing w:line="440" w:lineRule="exact"/>
              <w:jc w:val="center"/>
              <w:rPr>
                <w:rFonts w:hint="default" w:ascii="Arial" w:hAnsi="Arial" w:cs="Arial"/>
                <w:color w:val="000000"/>
                <w:sz w:val="21"/>
                <w:szCs w:val="21"/>
              </w:rPr>
            </w:pPr>
            <w:r>
              <w:rPr>
                <w:rFonts w:hint="default" w:ascii="Arial" w:hAnsi="Arial" w:cs="Arial"/>
                <w:color w:val="000000"/>
                <w:sz w:val="21"/>
                <w:szCs w:val="21"/>
              </w:rPr>
              <w:t>130814.5</w:t>
            </w:r>
          </w:p>
        </w:tc>
        <w:tc>
          <w:tcPr>
            <w:tcW w:w="1154" w:type="dxa"/>
            <w:noWrap/>
            <w:vAlign w:val="center"/>
          </w:tcPr>
          <w:p>
            <w:pPr>
              <w:spacing w:line="440" w:lineRule="exact"/>
              <w:jc w:val="center"/>
              <w:rPr>
                <w:rFonts w:hint="default" w:ascii="Arial" w:hAnsi="Arial" w:cs="Arial"/>
                <w:color w:val="000000"/>
                <w:sz w:val="21"/>
                <w:szCs w:val="21"/>
              </w:rPr>
            </w:pPr>
            <w:r>
              <w:rPr>
                <w:rFonts w:hint="default" w:ascii="Arial" w:hAnsi="Arial" w:cs="Arial"/>
                <w:color w:val="000000"/>
                <w:sz w:val="21"/>
                <w:szCs w:val="21"/>
              </w:rPr>
              <w:t>0.005</w:t>
            </w:r>
            <w:r>
              <w:rPr>
                <w:rFonts w:hint="default" w:ascii="Arial" w:hAnsi="Arial" w:cs="Arial"/>
                <w:color w:val="000000"/>
                <w:sz w:val="21"/>
                <w:szCs w:val="21"/>
                <w:lang w:val="en-US" w:eastAsia="zh-CN"/>
              </w:rPr>
              <w:t>4</w:t>
            </w:r>
          </w:p>
        </w:tc>
        <w:tc>
          <w:tcPr>
            <w:tcW w:w="1311" w:type="dxa"/>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103853</w:t>
            </w:r>
          </w:p>
        </w:tc>
        <w:tc>
          <w:tcPr>
            <w:tcW w:w="1235" w:type="dxa"/>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0.0044</w:t>
            </w:r>
          </w:p>
        </w:tc>
        <w:tc>
          <w:tcPr>
            <w:tcW w:w="2061" w:type="dxa"/>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603005.3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hint="default" w:ascii="Arial" w:hAnsi="Arial" w:cs="Arial"/>
                <w:szCs w:val="21"/>
              </w:rPr>
            </w:pPr>
            <w:r>
              <w:rPr>
                <w:rFonts w:hint="default" w:ascii="Arial" w:hAnsi="Arial" w:cs="Arial"/>
                <w:szCs w:val="21"/>
              </w:rPr>
              <w:t>电</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kWh</w:t>
            </w:r>
          </w:p>
        </w:tc>
        <w:tc>
          <w:tcPr>
            <w:tcW w:w="1232" w:type="dxa"/>
            <w:noWrap/>
            <w:vAlign w:val="center"/>
          </w:tcPr>
          <w:p>
            <w:pPr>
              <w:spacing w:line="440" w:lineRule="exact"/>
              <w:jc w:val="center"/>
              <w:rPr>
                <w:rFonts w:hint="default" w:ascii="Arial" w:hAnsi="Arial" w:cs="Arial"/>
                <w:color w:val="000000"/>
                <w:sz w:val="21"/>
                <w:szCs w:val="21"/>
              </w:rPr>
            </w:pPr>
            <w:r>
              <w:rPr>
                <w:rFonts w:hint="default" w:ascii="Arial" w:hAnsi="Arial" w:cs="Arial"/>
                <w:color w:val="000000"/>
                <w:sz w:val="21"/>
                <w:szCs w:val="21"/>
              </w:rPr>
              <w:t>4978962.5</w:t>
            </w:r>
          </w:p>
        </w:tc>
        <w:tc>
          <w:tcPr>
            <w:tcW w:w="1154" w:type="dxa"/>
            <w:noWrap/>
            <w:vAlign w:val="center"/>
          </w:tcPr>
          <w:p>
            <w:pPr>
              <w:spacing w:line="440" w:lineRule="exact"/>
              <w:jc w:val="center"/>
              <w:rPr>
                <w:rFonts w:hint="default" w:ascii="Arial" w:hAnsi="Arial" w:cs="Arial"/>
                <w:color w:val="000000"/>
                <w:sz w:val="21"/>
                <w:szCs w:val="21"/>
              </w:rPr>
            </w:pPr>
            <w:r>
              <w:rPr>
                <w:rFonts w:hint="default" w:ascii="Arial" w:hAnsi="Arial" w:cs="Arial"/>
                <w:color w:val="000000"/>
                <w:sz w:val="21"/>
                <w:szCs w:val="21"/>
              </w:rPr>
              <w:t>0.</w:t>
            </w:r>
            <w:r>
              <w:rPr>
                <w:rFonts w:hint="default" w:ascii="Arial" w:hAnsi="Arial" w:cs="Arial"/>
                <w:color w:val="000000"/>
                <w:sz w:val="21"/>
                <w:szCs w:val="21"/>
                <w:lang w:val="en-US" w:eastAsia="zh-CN"/>
              </w:rPr>
              <w:t>2055</w:t>
            </w:r>
          </w:p>
        </w:tc>
        <w:tc>
          <w:tcPr>
            <w:tcW w:w="1311" w:type="dxa"/>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5136828.5</w:t>
            </w:r>
          </w:p>
        </w:tc>
        <w:tc>
          <w:tcPr>
            <w:tcW w:w="1235" w:type="dxa"/>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0.21</w:t>
            </w:r>
            <w:r>
              <w:rPr>
                <w:rFonts w:hint="default" w:ascii="Arial" w:hAnsi="Arial" w:cs="Arial"/>
                <w:i w:val="0"/>
                <w:iCs w:val="0"/>
                <w:color w:val="000000"/>
                <w:kern w:val="0"/>
                <w:sz w:val="21"/>
                <w:szCs w:val="21"/>
                <w:u w:val="none"/>
                <w:lang w:val="en-US" w:eastAsia="zh-CN" w:bidi="ar"/>
              </w:rPr>
              <w:t>97</w:t>
            </w:r>
          </w:p>
        </w:tc>
        <w:tc>
          <w:tcPr>
            <w:tcW w:w="2061" w:type="dxa"/>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25061975.8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hint="default" w:ascii="Arial" w:hAnsi="Arial" w:cs="Arial"/>
                <w:szCs w:val="21"/>
              </w:rPr>
            </w:pPr>
            <w:r>
              <w:rPr>
                <w:rFonts w:hint="default" w:ascii="Arial" w:hAnsi="Arial" w:cs="Arial"/>
                <w:szCs w:val="21"/>
              </w:rPr>
              <w:t>外供循环水量</w:t>
            </w:r>
          </w:p>
        </w:tc>
        <w:tc>
          <w:tcPr>
            <w:tcW w:w="708" w:type="dxa"/>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2386" w:type="dxa"/>
            <w:gridSpan w:val="2"/>
            <w:noWrap/>
            <w:vAlign w:val="center"/>
          </w:tcPr>
          <w:p>
            <w:pPr>
              <w:spacing w:line="440" w:lineRule="exact"/>
              <w:jc w:val="center"/>
              <w:rPr>
                <w:rFonts w:hint="default" w:ascii="Arial" w:hAnsi="Arial" w:cs="Arial"/>
                <w:color w:val="000000"/>
                <w:sz w:val="21"/>
                <w:szCs w:val="21"/>
              </w:rPr>
            </w:pPr>
            <w:r>
              <w:rPr>
                <w:rFonts w:hint="default" w:ascii="Arial" w:hAnsi="Arial" w:cs="Arial"/>
                <w:color w:val="000000"/>
                <w:sz w:val="21"/>
                <w:szCs w:val="21"/>
              </w:rPr>
              <w:t>24232550</w:t>
            </w:r>
          </w:p>
        </w:tc>
        <w:tc>
          <w:tcPr>
            <w:tcW w:w="2546" w:type="dxa"/>
            <w:gridSpan w:val="2"/>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23376287</w:t>
            </w:r>
          </w:p>
        </w:tc>
        <w:tc>
          <w:tcPr>
            <w:tcW w:w="2061" w:type="dxa"/>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
              </w:rPr>
              <w:t>117434220</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本月湖水产水量较上月</w:t>
      </w:r>
      <w:r>
        <w:rPr>
          <w:rFonts w:hint="eastAsia" w:ascii="宋体" w:hAnsi="宋体" w:eastAsia="宋体" w:cs="宋体"/>
          <w:sz w:val="21"/>
          <w:szCs w:val="21"/>
          <w:lang w:val="en-US" w:eastAsia="zh-CN"/>
        </w:rPr>
        <w:t>上</w:t>
      </w:r>
      <w:r>
        <w:rPr>
          <w:rFonts w:hint="eastAsia" w:cs="宋体"/>
          <w:sz w:val="21"/>
          <w:szCs w:val="21"/>
          <w:lang w:val="en-US" w:eastAsia="zh-CN"/>
        </w:rPr>
        <w:t>涨10365.5</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color w:val="000000" w:themeColor="text1"/>
          <w:szCs w:val="21"/>
          <w14:textFill>
            <w14:solidFill>
              <w14:schemeClr w14:val="tx1"/>
            </w14:solidFill>
          </w14:textFill>
        </w:rPr>
        <w:t>，含油污水回用量较上月上涨</w:t>
      </w:r>
      <w:r>
        <w:rPr>
          <w:rFonts w:hint="eastAsia" w:cs="宋体"/>
          <w:color w:val="000000" w:themeColor="text1"/>
          <w:szCs w:val="21"/>
          <w:lang w:val="en-US" w:eastAsia="zh-CN"/>
          <w14:textFill>
            <w14:solidFill>
              <w14:schemeClr w14:val="tx1"/>
            </w14:solidFill>
          </w14:textFill>
        </w:rPr>
        <w:t>7994.9</w:t>
      </w:r>
      <w:r>
        <w:rPr>
          <w:rFonts w:hint="eastAsia" w:ascii="宋体" w:hAnsi="宋体" w:eastAsia="宋体" w:cs="宋体"/>
          <w:color w:val="000000" w:themeColor="text1"/>
          <w:szCs w:val="21"/>
          <w14:textFill>
            <w14:solidFill>
              <w14:schemeClr w14:val="tx1"/>
            </w14:solidFill>
          </w14:textFill>
        </w:rPr>
        <w:t>m³</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生产水补水量同比上月</w:t>
      </w:r>
      <w:r>
        <w:rPr>
          <w:rFonts w:hint="eastAsia" w:cs="宋体"/>
          <w:color w:val="000000" w:themeColor="text1"/>
          <w:szCs w:val="21"/>
          <w:lang w:val="en-US" w:eastAsia="zh-CN"/>
          <w14:textFill>
            <w14:solidFill>
              <w14:schemeClr w14:val="tx1"/>
            </w14:solidFill>
          </w14:textFill>
        </w:rPr>
        <w:t>下降</w:t>
      </w:r>
      <w:r>
        <w:rPr>
          <w:rFonts w:hint="eastAsia" w:ascii="宋体" w:hAnsi="宋体" w:eastAsia="宋体" w:cs="宋体"/>
          <w:color w:val="000000" w:themeColor="text1"/>
          <w:szCs w:val="21"/>
          <w:lang w:val="en-US" w:eastAsia="zh-CN"/>
          <w14:textFill>
            <w14:solidFill>
              <w14:schemeClr w14:val="tx1"/>
            </w14:solidFill>
          </w14:textFill>
        </w:rPr>
        <w:t>26961.5</w:t>
      </w:r>
      <w:r>
        <w:rPr>
          <w:rFonts w:hint="eastAsia" w:ascii="宋体" w:hAnsi="宋体" w:eastAsia="宋体" w:cs="宋体"/>
          <w:color w:val="000000" w:themeColor="text1"/>
          <w:szCs w:val="21"/>
          <w14:textFill>
            <w14:solidFill>
              <w14:schemeClr w14:val="tx1"/>
            </w14:solidFill>
          </w14:textFill>
        </w:rPr>
        <w:t>m³</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主要原因：1回用水补水量由100t/h调整为110t/h，2湖水开车12次，较上月产水增加10365.5</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color w:val="000000" w:themeColor="text1"/>
          <w:szCs w:val="21"/>
          <w14:textFill>
            <w14:solidFill>
              <w14:schemeClr w14:val="tx1"/>
            </w14:solidFill>
          </w14:textFill>
        </w:rPr>
        <w:t>。本月循环水泵及冷却风机运行台数未做调整，循环水场循环水量平均</w:t>
      </w:r>
      <w:r>
        <w:rPr>
          <w:rFonts w:hint="eastAsia" w:ascii="宋体" w:hAnsi="宋体" w:eastAsia="宋体" w:cs="宋体"/>
          <w:color w:val="000000" w:themeColor="text1"/>
          <w:sz w:val="21"/>
          <w:szCs w:val="21"/>
          <w14:textFill>
            <w14:solidFill>
              <w14:schemeClr w14:val="tx1"/>
            </w14:solidFill>
          </w14:textFill>
        </w:rPr>
        <w:t>32467.06</w:t>
      </w:r>
      <w:r>
        <w:rPr>
          <w:rFonts w:hint="eastAsia" w:ascii="宋体" w:hAnsi="宋体" w:eastAsia="宋体" w:cs="宋体"/>
          <w:color w:val="000000" w:themeColor="text1"/>
          <w:szCs w:val="21"/>
          <w14:textFill>
            <w14:solidFill>
              <w14:schemeClr w14:val="tx1"/>
            </w14:solidFill>
          </w14:textFill>
        </w:rPr>
        <w:t>m</w:t>
      </w:r>
      <w:r>
        <w:rPr>
          <w:rFonts w:hint="eastAsia" w:ascii="宋体" w:hAnsi="宋体" w:eastAsia="宋体" w:cs="宋体"/>
          <w:color w:val="000000" w:themeColor="text1"/>
          <w:szCs w:val="21"/>
          <w:vertAlign w:val="superscript"/>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/h，高于设计值27000m</w:t>
      </w:r>
      <w:r>
        <w:rPr>
          <w:rFonts w:hint="eastAsia" w:ascii="宋体" w:hAnsi="宋体" w:eastAsia="宋体" w:cs="宋体"/>
          <w:color w:val="000000" w:themeColor="text1"/>
          <w:szCs w:val="21"/>
          <w:vertAlign w:val="superscript"/>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/h，与调度沟通后，为保证装置稳定运行，暂不调整，所以实际循环水场消耗功率大于设计功率。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湖水利用单元本月累计运行</w:t>
      </w:r>
      <w:r>
        <w:rPr>
          <w:rFonts w:hint="eastAsia"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次。湖水利用及装置区制冷站单元的电耗全部算到一循总电耗里面，无法单独取数。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259"/>
        <w:gridCol w:w="1009"/>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1259" w:type="dxa"/>
            <w:noWrap/>
            <w:vAlign w:val="center"/>
          </w:tcPr>
          <w:p>
            <w:pPr>
              <w:spacing w:line="440" w:lineRule="exact"/>
              <w:jc w:val="center"/>
              <w:rPr>
                <w:rFonts w:ascii="Arial" w:hAnsi="Arial" w:cs="Arial"/>
                <w:szCs w:val="21"/>
              </w:rPr>
            </w:pPr>
            <w:r>
              <w:rPr>
                <w:rFonts w:ascii="Arial" w:hAnsi="Arial" w:cs="Arial"/>
                <w:szCs w:val="21"/>
              </w:rPr>
              <w:t>数量</w:t>
            </w:r>
          </w:p>
        </w:tc>
        <w:tc>
          <w:tcPr>
            <w:tcW w:w="1009"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除氧水</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384.2</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w:t>
            </w:r>
          </w:p>
        </w:tc>
        <w:tc>
          <w:tcPr>
            <w:tcW w:w="1259" w:type="dxa"/>
            <w:noWrap/>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2210.6</w:t>
            </w:r>
          </w:p>
        </w:tc>
        <w:tc>
          <w:tcPr>
            <w:tcW w:w="1009" w:type="dxa"/>
            <w:noWrap/>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rPr>
              <w:t>-</w:t>
            </w:r>
          </w:p>
        </w:tc>
        <w:tc>
          <w:tcPr>
            <w:tcW w:w="2456" w:type="dxa"/>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2883.2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1.0MPa蒸汽</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t</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0.1</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w:t>
            </w:r>
          </w:p>
        </w:tc>
        <w:tc>
          <w:tcPr>
            <w:tcW w:w="1259" w:type="dxa"/>
            <w:noWrap/>
            <w:vAlign w:val="center"/>
          </w:tcPr>
          <w:p>
            <w:pPr>
              <w:spacing w:line="440" w:lineRule="exact"/>
              <w:jc w:val="center"/>
              <w:rPr>
                <w:rFonts w:hint="default" w:ascii="Arial" w:hAnsi="Arial" w:eastAsia="宋体" w:cs="Arial"/>
                <w:color w:val="auto"/>
                <w:sz w:val="21"/>
                <w:szCs w:val="21"/>
              </w:rPr>
            </w:pPr>
            <w:r>
              <w:rPr>
                <w:rFonts w:hint="default" w:ascii="Arial" w:hAnsi="Arial" w:eastAsia="宋体" w:cs="Arial"/>
                <w:color w:val="auto"/>
                <w:sz w:val="21"/>
                <w:szCs w:val="21"/>
              </w:rPr>
              <w:t>0.1</w:t>
            </w:r>
          </w:p>
        </w:tc>
        <w:tc>
          <w:tcPr>
            <w:tcW w:w="1009" w:type="dxa"/>
            <w:noWrap/>
            <w:vAlign w:val="center"/>
          </w:tcPr>
          <w:p>
            <w:pPr>
              <w:spacing w:line="440" w:lineRule="exact"/>
              <w:jc w:val="center"/>
              <w:rPr>
                <w:rFonts w:hint="default" w:ascii="Arial" w:hAnsi="Arial" w:eastAsia="宋体" w:cs="Arial"/>
                <w:color w:val="auto"/>
                <w:sz w:val="21"/>
                <w:szCs w:val="21"/>
              </w:rPr>
            </w:pPr>
            <w:r>
              <w:rPr>
                <w:rFonts w:hint="default" w:ascii="Arial" w:hAnsi="Arial" w:eastAsia="宋体" w:cs="Arial"/>
                <w:color w:val="auto"/>
                <w:sz w:val="21"/>
                <w:szCs w:val="21"/>
              </w:rPr>
              <w:t>-</w:t>
            </w:r>
          </w:p>
        </w:tc>
        <w:tc>
          <w:tcPr>
            <w:tcW w:w="2456" w:type="dxa"/>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rPr>
              <w:t>0.</w:t>
            </w:r>
            <w:r>
              <w:rPr>
                <w:rFonts w:hint="default" w:ascii="Arial" w:hAnsi="Arial" w:eastAsia="宋体" w:cs="Arial"/>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电</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kWh</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color w:val="auto"/>
                <w:sz w:val="21"/>
                <w:szCs w:val="21"/>
              </w:rPr>
              <w:t>465278.0</w:t>
            </w:r>
          </w:p>
        </w:tc>
        <w:tc>
          <w:tcPr>
            <w:tcW w:w="1134" w:type="dxa"/>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1.0575</w:t>
            </w:r>
          </w:p>
        </w:tc>
        <w:tc>
          <w:tcPr>
            <w:tcW w:w="1259" w:type="dxa"/>
            <w:noWrap/>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485194.50</w:t>
            </w:r>
          </w:p>
        </w:tc>
        <w:tc>
          <w:tcPr>
            <w:tcW w:w="1009" w:type="dxa"/>
            <w:noWrap/>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1.1</w:t>
            </w:r>
            <w:r>
              <w:rPr>
                <w:rFonts w:hint="default" w:ascii="Arial" w:hAnsi="Arial" w:cs="Arial"/>
                <w:color w:val="auto"/>
                <w:sz w:val="21"/>
                <w:szCs w:val="21"/>
                <w:lang w:val="en-US" w:eastAsia="zh-CN"/>
              </w:rPr>
              <w:t>263</w:t>
            </w:r>
          </w:p>
        </w:tc>
        <w:tc>
          <w:tcPr>
            <w:tcW w:w="2456" w:type="dxa"/>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2278957.65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外供热水量</w:t>
            </w:r>
          </w:p>
        </w:tc>
        <w:tc>
          <w:tcPr>
            <w:tcW w:w="708" w:type="dxa"/>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2268" w:type="dxa"/>
            <w:gridSpan w:val="2"/>
            <w:noWrap/>
            <w:vAlign w:val="center"/>
          </w:tcPr>
          <w:p>
            <w:pPr>
              <w:spacing w:line="440" w:lineRule="exact"/>
              <w:jc w:val="center"/>
              <w:rPr>
                <w:rFonts w:hint="default" w:ascii="Arial" w:hAnsi="Arial" w:eastAsia="宋体" w:cs="Arial"/>
                <w:sz w:val="21"/>
                <w:szCs w:val="21"/>
              </w:rPr>
            </w:pPr>
            <w:r>
              <w:rPr>
                <w:rFonts w:hint="default" w:ascii="Arial" w:hAnsi="Arial" w:eastAsia="宋体" w:cs="Arial"/>
                <w:sz w:val="21"/>
                <w:szCs w:val="21"/>
              </w:rPr>
              <w:t>439949</w:t>
            </w:r>
          </w:p>
        </w:tc>
        <w:tc>
          <w:tcPr>
            <w:tcW w:w="2268" w:type="dxa"/>
            <w:gridSpan w:val="2"/>
            <w:noWrap/>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430770</w:t>
            </w:r>
          </w:p>
        </w:tc>
        <w:tc>
          <w:tcPr>
            <w:tcW w:w="2456" w:type="dxa"/>
            <w:vAlign w:val="center"/>
          </w:tcPr>
          <w:p>
            <w:pPr>
              <w:spacing w:line="440" w:lineRule="exact"/>
              <w:jc w:val="center"/>
              <w:rPr>
                <w:rFonts w:hint="default" w:ascii="Arial" w:hAnsi="Arial" w:eastAsia="宋体" w:cs="Arial"/>
                <w:color w:val="auto"/>
                <w:sz w:val="21"/>
                <w:szCs w:val="21"/>
                <w:lang w:val="en-US" w:eastAsia="zh-CN"/>
              </w:rPr>
            </w:pPr>
            <w:r>
              <w:rPr>
                <w:rFonts w:hint="default" w:ascii="Arial" w:hAnsi="Arial" w:eastAsia="宋体" w:cs="Arial"/>
                <w:color w:val="auto"/>
                <w:sz w:val="21"/>
                <w:szCs w:val="21"/>
                <w:lang w:val="en-US" w:eastAsia="zh-CN"/>
              </w:rPr>
              <w:t>2122030</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rPr>
          <w:rFonts w:hint="eastAsia"/>
          <w:szCs w:val="21"/>
          <w:lang w:val="en-US" w:eastAsia="zh-CN"/>
        </w:rPr>
      </w:pPr>
      <w:r>
        <w:rPr>
          <w:rFonts w:hint="eastAsia"/>
          <w:szCs w:val="21"/>
        </w:rPr>
        <w:t>本月热水站热水正常供气分装置、制冷站，累计外供热水</w:t>
      </w:r>
      <w:r>
        <w:rPr>
          <w:rFonts w:hint="eastAsia" w:ascii="宋体" w:hAnsi="宋体" w:eastAsia="宋体" w:cs="宋体"/>
          <w:color w:val="000000"/>
          <w:sz w:val="21"/>
          <w:szCs w:val="21"/>
          <w:lang w:val="en-US" w:eastAsia="zh-CN"/>
        </w:rPr>
        <w:t>430770</w:t>
      </w:r>
      <w:r>
        <w:rPr>
          <w:rFonts w:hint="eastAsia"/>
          <w:szCs w:val="21"/>
        </w:rPr>
        <w:t>m³，热水缓冲罐液位降至11.0m触发联锁动作，开阀补充除氧水；其余全部采用3#海淡闪蒸凝液补充，按计调要求蒸汽阀略开，换热器处于热备状态</w:t>
      </w:r>
      <w:r>
        <w:rPr>
          <w:rFonts w:hint="eastAsia"/>
          <w:szCs w:val="21"/>
          <w:lang w:eastAsia="zh-CN"/>
        </w:rPr>
        <w:t>，</w:t>
      </w:r>
      <w:r>
        <w:rPr>
          <w:rFonts w:hint="eastAsia"/>
          <w:szCs w:val="21"/>
          <w:lang w:val="en-US" w:eastAsia="zh-CN"/>
        </w:rPr>
        <w:t>本月除氧水消耗量</w:t>
      </w:r>
      <w:r>
        <w:rPr>
          <w:rFonts w:hint="eastAsia" w:ascii="宋体" w:hAnsi="宋体" w:eastAsia="宋体" w:cs="宋体"/>
          <w:i w:val="0"/>
          <w:iCs w:val="0"/>
          <w:color w:val="000000"/>
          <w:kern w:val="0"/>
          <w:sz w:val="22"/>
          <w:szCs w:val="22"/>
          <w:u w:val="none"/>
          <w:lang w:val="en-US" w:eastAsia="zh-CN" w:bidi="ar"/>
        </w:rPr>
        <w:t>2248.4</w:t>
      </w:r>
      <w:r>
        <w:rPr>
          <w:rFonts w:hint="eastAsia"/>
          <w:szCs w:val="21"/>
          <w:lang w:val="en-US" w:eastAsia="zh-CN"/>
        </w:rPr>
        <w:t>m³,主要原因为近期热水铁离子含量较高，为防止热水管网发生腐蚀现象，通过排补置换，故除氧水消耗量上升属正常现象。</w:t>
      </w:r>
    </w:p>
    <w:p>
      <w:pPr>
        <w:ind w:firstLine="420" w:firstLineChars="200"/>
        <w:rPr>
          <w:rFonts w:hint="default"/>
          <w:szCs w:val="21"/>
          <w:lang w:val="en-US" w:eastAsia="zh-CN"/>
        </w:rPr>
      </w:pPr>
      <w:r>
        <w:rPr>
          <w:rFonts w:hint="eastAsia"/>
          <w:szCs w:val="21"/>
          <w:lang w:val="en-US" w:eastAsia="zh-CN"/>
        </w:rPr>
        <w:t>6月已对除氧水消耗量做出调整，采取定期排污措施。</w:t>
      </w:r>
    </w:p>
    <w:p>
      <w:pPr>
        <w:ind w:firstLine="420" w:firstLineChars="200"/>
        <w:rPr>
          <w:rFonts w:hint="eastAsia"/>
          <w:szCs w:val="21"/>
          <w:lang w:val="en-US" w:eastAsia="zh-CN"/>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998"/>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hint="default" w:ascii="Arial" w:hAnsi="Arial" w:cs="Arial"/>
                <w:szCs w:val="21"/>
              </w:rPr>
            </w:pPr>
            <w:r>
              <w:rPr>
                <w:rFonts w:hint="default" w:ascii="Arial" w:hAnsi="Arial" w:cs="Arial"/>
                <w:szCs w:val="21"/>
              </w:rPr>
              <w:t>指标名称</w:t>
            </w:r>
          </w:p>
        </w:tc>
        <w:tc>
          <w:tcPr>
            <w:tcW w:w="708" w:type="dxa"/>
            <w:vMerge w:val="restart"/>
            <w:vAlign w:val="center"/>
          </w:tcPr>
          <w:p>
            <w:pPr>
              <w:spacing w:line="440" w:lineRule="exact"/>
              <w:jc w:val="center"/>
              <w:rPr>
                <w:rFonts w:hint="default" w:ascii="Arial" w:hAnsi="Arial" w:cs="Arial"/>
                <w:szCs w:val="21"/>
              </w:rPr>
            </w:pPr>
            <w:r>
              <w:rPr>
                <w:rFonts w:hint="default" w:ascii="Arial" w:hAnsi="Arial" w:cs="Arial"/>
                <w:szCs w:val="21"/>
              </w:rPr>
              <w:t>单位</w:t>
            </w:r>
          </w:p>
        </w:tc>
        <w:tc>
          <w:tcPr>
            <w:tcW w:w="2132" w:type="dxa"/>
            <w:gridSpan w:val="2"/>
            <w:noWrap/>
            <w:vAlign w:val="center"/>
          </w:tcPr>
          <w:p>
            <w:pPr>
              <w:spacing w:line="440" w:lineRule="exact"/>
              <w:jc w:val="center"/>
              <w:rPr>
                <w:rFonts w:hint="default" w:ascii="Arial" w:hAnsi="Arial" w:cs="Arial"/>
                <w:szCs w:val="21"/>
              </w:rPr>
            </w:pPr>
            <w:r>
              <w:rPr>
                <w:rFonts w:hint="default" w:ascii="Arial" w:hAnsi="Arial" w:cs="Arial"/>
                <w:szCs w:val="21"/>
              </w:rPr>
              <w:t>上月</w:t>
            </w:r>
          </w:p>
        </w:tc>
        <w:tc>
          <w:tcPr>
            <w:tcW w:w="2404" w:type="dxa"/>
            <w:gridSpan w:val="2"/>
            <w:noWrap/>
            <w:vAlign w:val="center"/>
          </w:tcPr>
          <w:p>
            <w:pPr>
              <w:spacing w:line="440" w:lineRule="exact"/>
              <w:jc w:val="center"/>
              <w:rPr>
                <w:rFonts w:hint="default" w:ascii="Arial" w:hAnsi="Arial" w:cs="Arial"/>
                <w:szCs w:val="21"/>
              </w:rPr>
            </w:pPr>
            <w:r>
              <w:rPr>
                <w:rFonts w:hint="default" w:ascii="Arial" w:hAnsi="Arial" w:cs="Arial"/>
                <w:szCs w:val="21"/>
              </w:rPr>
              <w:t>本月</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hint="default" w:ascii="Arial" w:hAnsi="Arial" w:cs="Arial"/>
                <w:szCs w:val="21"/>
              </w:rPr>
            </w:pPr>
          </w:p>
        </w:tc>
        <w:tc>
          <w:tcPr>
            <w:tcW w:w="708" w:type="dxa"/>
            <w:vMerge w:val="continue"/>
            <w:vAlign w:val="center"/>
          </w:tcPr>
          <w:p>
            <w:pPr>
              <w:spacing w:line="440" w:lineRule="exact"/>
              <w:jc w:val="center"/>
              <w:rPr>
                <w:rFonts w:hint="default" w:ascii="Arial" w:hAnsi="Arial" w:cs="Arial"/>
                <w:szCs w:val="21"/>
              </w:rPr>
            </w:pP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998"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1270"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电</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kWh</w:t>
            </w:r>
          </w:p>
        </w:tc>
        <w:tc>
          <w:tcPr>
            <w:tcW w:w="1134" w:type="dxa"/>
            <w:noWrap/>
            <w:vAlign w:val="center"/>
          </w:tcPr>
          <w:p>
            <w:pPr>
              <w:spacing w:line="440" w:lineRule="exact"/>
              <w:jc w:val="center"/>
              <w:rPr>
                <w:rFonts w:hint="eastAsia" w:ascii="Arial" w:hAnsi="Arial" w:eastAsia="宋体" w:cs="Arial"/>
                <w:sz w:val="21"/>
                <w:szCs w:val="21"/>
              </w:rPr>
            </w:pPr>
            <w:r>
              <w:rPr>
                <w:rFonts w:hint="eastAsia" w:ascii="Arial" w:hAnsi="Arial" w:eastAsia="宋体" w:cs="Arial"/>
                <w:sz w:val="21"/>
                <w:szCs w:val="21"/>
              </w:rPr>
              <w:t>101609.9</w:t>
            </w:r>
          </w:p>
        </w:tc>
        <w:tc>
          <w:tcPr>
            <w:tcW w:w="998" w:type="dxa"/>
            <w:noWrap/>
            <w:vAlign w:val="center"/>
          </w:tcPr>
          <w:p>
            <w:pPr>
              <w:spacing w:line="440" w:lineRule="exact"/>
              <w:jc w:val="center"/>
              <w:rPr>
                <w:rFonts w:hint="eastAsia" w:ascii="Arial" w:hAnsi="Arial" w:eastAsia="宋体" w:cs="Arial"/>
                <w:sz w:val="21"/>
                <w:szCs w:val="21"/>
              </w:rPr>
            </w:pPr>
            <w:r>
              <w:rPr>
                <w:rFonts w:hint="eastAsia" w:ascii="Arial" w:hAnsi="Arial" w:eastAsia="宋体" w:cs="Arial"/>
                <w:sz w:val="21"/>
                <w:szCs w:val="21"/>
              </w:rPr>
              <w:t>-</w:t>
            </w:r>
          </w:p>
        </w:tc>
        <w:tc>
          <w:tcPr>
            <w:tcW w:w="1270" w:type="dxa"/>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eastAsia="宋体" w:cs="Arial"/>
                <w:sz w:val="21"/>
                <w:szCs w:val="21"/>
                <w:lang w:val="en-US" w:eastAsia="zh-CN"/>
              </w:rPr>
              <w:t xml:space="preserve">103105.12 </w:t>
            </w:r>
          </w:p>
        </w:tc>
        <w:tc>
          <w:tcPr>
            <w:tcW w:w="1134" w:type="dxa"/>
            <w:noWrap/>
            <w:vAlign w:val="center"/>
          </w:tcPr>
          <w:p>
            <w:pPr>
              <w:spacing w:line="440" w:lineRule="exact"/>
              <w:jc w:val="center"/>
              <w:rPr>
                <w:rFonts w:hint="eastAsia" w:ascii="Arial" w:hAnsi="Arial" w:eastAsia="宋体" w:cs="Arial"/>
                <w:sz w:val="21"/>
                <w:szCs w:val="21"/>
              </w:rPr>
            </w:pPr>
            <w:r>
              <w:rPr>
                <w:rFonts w:hint="eastAsia" w:ascii="Arial" w:hAnsi="Arial" w:eastAsia="宋体" w:cs="Arial"/>
                <w:sz w:val="21"/>
                <w:szCs w:val="21"/>
              </w:rPr>
              <w:t>-</w:t>
            </w:r>
          </w:p>
        </w:tc>
        <w:tc>
          <w:tcPr>
            <w:tcW w:w="2456" w:type="dxa"/>
            <w:vAlign w:val="center"/>
          </w:tcPr>
          <w:p>
            <w:pPr>
              <w:spacing w:line="440" w:lineRule="exact"/>
              <w:jc w:val="center"/>
              <w:rPr>
                <w:rFonts w:hint="default" w:ascii="Arial" w:hAnsi="Arial" w:eastAsia="宋体" w:cs="Arial"/>
                <w:sz w:val="21"/>
                <w:szCs w:val="21"/>
                <w:lang w:val="en-US" w:eastAsia="zh-CN"/>
              </w:rPr>
            </w:pPr>
            <w:r>
              <w:rPr>
                <w:rFonts w:hint="eastAsia" w:ascii="Arial" w:hAnsi="Arial" w:eastAsia="宋体" w:cs="Arial"/>
                <w:sz w:val="21"/>
                <w:szCs w:val="21"/>
                <w:lang w:val="en-US" w:eastAsia="zh-CN"/>
              </w:rPr>
              <w:t>500895.92</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本月给水及消防加压泵站正常运行。本月电耗量较上月</w:t>
      </w:r>
      <w:r>
        <w:rPr>
          <w:rFonts w:hint="eastAsia"/>
          <w:szCs w:val="21"/>
          <w:lang w:val="en-US" w:eastAsia="zh-CN"/>
        </w:rPr>
        <w:t>基本</w:t>
      </w:r>
      <w:r>
        <w:rPr>
          <w:rFonts w:hint="eastAsia"/>
          <w:szCs w:val="21"/>
        </w:rPr>
        <w:t>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hint="default" w:ascii="Arial" w:hAnsi="Arial" w:cs="Arial"/>
                <w:szCs w:val="21"/>
              </w:rPr>
            </w:pPr>
            <w:r>
              <w:rPr>
                <w:rFonts w:hint="default" w:ascii="Arial" w:hAnsi="Arial" w:cs="Arial"/>
                <w:szCs w:val="21"/>
              </w:rPr>
              <w:t>单位</w:t>
            </w:r>
          </w:p>
        </w:tc>
        <w:tc>
          <w:tcPr>
            <w:tcW w:w="2268" w:type="dxa"/>
            <w:gridSpan w:val="2"/>
            <w:noWrap/>
            <w:vAlign w:val="center"/>
          </w:tcPr>
          <w:p>
            <w:pPr>
              <w:spacing w:line="440" w:lineRule="exact"/>
              <w:jc w:val="center"/>
              <w:rPr>
                <w:rFonts w:hint="default" w:ascii="Arial" w:hAnsi="Arial" w:cs="Arial"/>
                <w:szCs w:val="21"/>
              </w:rPr>
            </w:pPr>
            <w:r>
              <w:rPr>
                <w:rFonts w:hint="default" w:ascii="Arial" w:hAnsi="Arial" w:cs="Arial"/>
                <w:szCs w:val="21"/>
              </w:rPr>
              <w:t>上月</w:t>
            </w:r>
          </w:p>
        </w:tc>
        <w:tc>
          <w:tcPr>
            <w:tcW w:w="2268" w:type="dxa"/>
            <w:gridSpan w:val="2"/>
            <w:noWrap/>
            <w:vAlign w:val="center"/>
          </w:tcPr>
          <w:p>
            <w:pPr>
              <w:spacing w:line="440" w:lineRule="exact"/>
              <w:jc w:val="center"/>
              <w:rPr>
                <w:rFonts w:hint="default" w:ascii="Arial" w:hAnsi="Arial" w:cs="Arial"/>
                <w:szCs w:val="21"/>
              </w:rPr>
            </w:pPr>
            <w:r>
              <w:rPr>
                <w:rFonts w:hint="default" w:ascii="Arial" w:hAnsi="Arial" w:cs="Arial"/>
                <w:szCs w:val="21"/>
              </w:rPr>
              <w:t>本月</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hint="default" w:ascii="Arial" w:hAnsi="Arial" w:cs="Arial"/>
                <w:szCs w:val="21"/>
              </w:rPr>
            </w:pP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1134"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生产水</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4</w:t>
            </w:r>
            <w:r>
              <w:rPr>
                <w:rFonts w:hint="default" w:ascii="Arial" w:hAnsi="Arial" w:cs="Arial"/>
                <w:color w:val="000000"/>
                <w:szCs w:val="21"/>
                <w:u w:val="none"/>
                <w:lang w:val="en-US" w:eastAsia="zh-CN"/>
              </w:rPr>
              <w:t>6.6</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SA"/>
              </w:rPr>
              <w:t>3</w:t>
            </w:r>
            <w:r>
              <w:rPr>
                <w:rFonts w:hint="default" w:ascii="Arial" w:hAnsi="Arial" w:cs="Arial"/>
                <w:i w:val="0"/>
                <w:iCs w:val="0"/>
                <w:color w:val="000000"/>
                <w:kern w:val="0"/>
                <w:sz w:val="21"/>
                <w:szCs w:val="21"/>
                <w:u w:val="none"/>
                <w:lang w:val="en-US" w:eastAsia="zh-CN" w:bidi="ar-SA"/>
              </w:rPr>
              <w:t>7</w:t>
            </w:r>
            <w:r>
              <w:rPr>
                <w:rFonts w:hint="default" w:ascii="Arial" w:hAnsi="Arial" w:eastAsia="宋体" w:cs="Arial"/>
                <w:i w:val="0"/>
                <w:iCs w:val="0"/>
                <w:color w:val="000000"/>
                <w:kern w:val="0"/>
                <w:sz w:val="21"/>
                <w:szCs w:val="21"/>
                <w:u w:val="none"/>
                <w:lang w:val="en-US" w:eastAsia="zh-CN" w:bidi="ar-SA"/>
              </w:rPr>
              <w:t>.7</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2456" w:type="dxa"/>
            <w:vAlign w:val="center"/>
          </w:tcPr>
          <w:p>
            <w:pPr>
              <w:keepNext w:val="0"/>
              <w:keepLines w:val="0"/>
              <w:widowControl/>
              <w:suppressLineNumbers w:val="0"/>
              <w:jc w:val="center"/>
              <w:textAlignment w:val="center"/>
              <w:rPr>
                <w:rFonts w:hint="default" w:ascii="Arial" w:hAnsi="Arial" w:eastAsia="宋体" w:cs="Arial"/>
                <w:color w:val="000000"/>
                <w:szCs w:val="21"/>
                <w:u w:val="none"/>
                <w:lang w:val="en-US" w:eastAsia="zh-CN"/>
              </w:rPr>
            </w:pPr>
            <w:r>
              <w:rPr>
                <w:rFonts w:hint="default" w:ascii="Arial" w:hAnsi="Arial" w:eastAsia="宋体" w:cs="Arial"/>
                <w:i w:val="0"/>
                <w:iCs w:val="0"/>
                <w:color w:val="000000"/>
                <w:kern w:val="0"/>
                <w:sz w:val="21"/>
                <w:szCs w:val="21"/>
                <w:u w:val="none"/>
                <w:lang w:val="en-US" w:eastAsia="zh-CN" w:bidi="ar-SA"/>
              </w:rPr>
              <w:t>221.8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低压蒸汽</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t</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13.</w:t>
            </w:r>
            <w:r>
              <w:rPr>
                <w:rFonts w:hint="default" w:ascii="Arial" w:hAnsi="Arial" w:cs="Arial"/>
                <w:color w:val="000000"/>
                <w:szCs w:val="21"/>
                <w:u w:val="none"/>
                <w:lang w:val="en-US" w:eastAsia="zh-CN"/>
              </w:rPr>
              <w:t>72</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cs="Arial"/>
                <w:i w:val="0"/>
                <w:iCs w:val="0"/>
                <w:color w:val="000000"/>
                <w:kern w:val="0"/>
                <w:sz w:val="21"/>
                <w:szCs w:val="21"/>
                <w:u w:val="none"/>
                <w:lang w:val="en-US" w:eastAsia="zh-CN" w:bidi="ar-SA"/>
              </w:rPr>
              <w:t>32.57</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2456" w:type="dxa"/>
            <w:vAlign w:val="center"/>
          </w:tcPr>
          <w:p>
            <w:pPr>
              <w:keepNext w:val="0"/>
              <w:keepLines w:val="0"/>
              <w:widowControl/>
              <w:suppressLineNumbers w:val="0"/>
              <w:jc w:val="center"/>
              <w:textAlignment w:val="center"/>
              <w:rPr>
                <w:rFonts w:hint="default" w:ascii="Arial" w:hAnsi="Arial" w:eastAsia="宋体" w:cs="Arial"/>
                <w:color w:val="000000"/>
                <w:szCs w:val="21"/>
                <w:u w:val="none"/>
                <w:lang w:val="en-US" w:eastAsia="zh-CN"/>
              </w:rPr>
            </w:pPr>
            <w:r>
              <w:rPr>
                <w:rFonts w:hint="default" w:ascii="Arial" w:hAnsi="Arial" w:eastAsia="宋体" w:cs="Arial"/>
                <w:i w:val="0"/>
                <w:iCs w:val="0"/>
                <w:color w:val="000000"/>
                <w:kern w:val="0"/>
                <w:sz w:val="21"/>
                <w:szCs w:val="21"/>
                <w:u w:val="none"/>
                <w:lang w:val="en-US" w:eastAsia="zh-CN" w:bidi="ar-SA"/>
              </w:rPr>
              <w:t>65.27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循环水</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m</w:t>
            </w:r>
            <w:r>
              <w:rPr>
                <w:rFonts w:hint="default" w:ascii="Arial" w:hAnsi="Arial" w:cs="Arial"/>
                <w:szCs w:val="21"/>
                <w:vertAlign w:val="superscript"/>
              </w:rPr>
              <w:t>3</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1</w:t>
            </w:r>
            <w:r>
              <w:rPr>
                <w:rFonts w:hint="default" w:ascii="Arial" w:hAnsi="Arial" w:cs="Arial"/>
                <w:color w:val="000000"/>
                <w:szCs w:val="21"/>
                <w:u w:val="none"/>
                <w:lang w:val="en-US" w:eastAsia="zh-CN"/>
              </w:rPr>
              <w:t>4380.8</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cs="Arial"/>
                <w:i w:val="0"/>
                <w:iCs w:val="0"/>
                <w:color w:val="000000"/>
                <w:kern w:val="0"/>
                <w:sz w:val="21"/>
                <w:szCs w:val="21"/>
                <w:u w:val="none"/>
                <w:lang w:val="en-US" w:eastAsia="zh-CN" w:bidi="ar-SA"/>
              </w:rPr>
              <w:t>15055.1</w:t>
            </w:r>
            <w:r>
              <w:rPr>
                <w:rFonts w:hint="default" w:ascii="Arial" w:hAnsi="Arial" w:eastAsia="宋体" w:cs="Arial"/>
                <w:i w:val="0"/>
                <w:iCs w:val="0"/>
                <w:color w:val="000000"/>
                <w:kern w:val="0"/>
                <w:sz w:val="21"/>
                <w:szCs w:val="21"/>
                <w:u w:val="none"/>
                <w:lang w:val="en-US" w:eastAsia="zh-CN" w:bidi="ar-SA"/>
              </w:rPr>
              <w:t xml:space="preserve"> </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2456" w:type="dxa"/>
            <w:vAlign w:val="center"/>
          </w:tcPr>
          <w:p>
            <w:pPr>
              <w:keepNext w:val="0"/>
              <w:keepLines w:val="0"/>
              <w:widowControl/>
              <w:suppressLineNumbers w:val="0"/>
              <w:jc w:val="center"/>
              <w:textAlignment w:val="center"/>
              <w:rPr>
                <w:rFonts w:hint="default" w:ascii="Arial" w:hAnsi="Arial" w:cs="Arial"/>
                <w:color w:val="000000"/>
                <w:szCs w:val="21"/>
                <w:u w:val="none"/>
              </w:rPr>
            </w:pPr>
            <w:r>
              <w:rPr>
                <w:rFonts w:hint="default" w:ascii="Arial" w:hAnsi="Arial" w:eastAsia="宋体" w:cs="Arial"/>
                <w:i w:val="0"/>
                <w:iCs w:val="0"/>
                <w:color w:val="000000"/>
                <w:kern w:val="0"/>
                <w:sz w:val="21"/>
                <w:szCs w:val="21"/>
                <w:u w:val="none"/>
                <w:lang w:val="en-US" w:eastAsia="zh-CN" w:bidi="ar-SA"/>
              </w:rPr>
              <w:t>72570.2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工厂风</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Nm</w:t>
            </w:r>
            <w:r>
              <w:rPr>
                <w:rFonts w:hint="default" w:ascii="Arial" w:hAnsi="Arial" w:cs="Arial"/>
                <w:szCs w:val="21"/>
                <w:vertAlign w:val="superscript"/>
              </w:rPr>
              <w:t>3</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lang w:val="en-US" w:eastAsia="zh-CN"/>
              </w:rPr>
              <w:t>53613.9</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cs="Arial"/>
                <w:i w:val="0"/>
                <w:iCs w:val="0"/>
                <w:color w:val="000000"/>
                <w:kern w:val="0"/>
                <w:sz w:val="21"/>
                <w:szCs w:val="21"/>
                <w:u w:val="none"/>
                <w:lang w:val="en-US" w:eastAsia="zh-CN" w:bidi="ar-SA"/>
              </w:rPr>
              <w:t>44062.6</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2456" w:type="dxa"/>
            <w:vAlign w:val="center"/>
          </w:tcPr>
          <w:p>
            <w:pPr>
              <w:keepNext w:val="0"/>
              <w:keepLines w:val="0"/>
              <w:widowControl/>
              <w:suppressLineNumbers w:val="0"/>
              <w:jc w:val="center"/>
              <w:textAlignment w:val="center"/>
              <w:rPr>
                <w:rFonts w:hint="default" w:ascii="Arial" w:hAnsi="Arial" w:cs="Arial"/>
                <w:color w:val="000000"/>
                <w:szCs w:val="21"/>
                <w:u w:val="none"/>
              </w:rPr>
            </w:pPr>
            <w:r>
              <w:rPr>
                <w:rFonts w:hint="default" w:ascii="Arial" w:hAnsi="Arial" w:eastAsia="宋体" w:cs="Arial"/>
                <w:i w:val="0"/>
                <w:iCs w:val="0"/>
                <w:color w:val="000000"/>
                <w:kern w:val="0"/>
                <w:sz w:val="21"/>
                <w:szCs w:val="21"/>
                <w:u w:val="none"/>
                <w:lang w:val="en-US" w:eastAsia="zh-CN" w:bidi="ar-SA"/>
              </w:rPr>
              <w:t>238616.5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仪表风</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Nm</w:t>
            </w:r>
            <w:r>
              <w:rPr>
                <w:rFonts w:hint="default" w:ascii="Arial" w:hAnsi="Arial" w:cs="Arial"/>
                <w:szCs w:val="21"/>
                <w:vertAlign w:val="superscript"/>
              </w:rPr>
              <w:t>3</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7</w:t>
            </w:r>
            <w:r>
              <w:rPr>
                <w:rFonts w:hint="default" w:ascii="Arial" w:hAnsi="Arial" w:cs="Arial"/>
                <w:color w:val="000000"/>
                <w:szCs w:val="21"/>
                <w:u w:val="none"/>
                <w:lang w:val="en-US" w:eastAsia="zh-CN"/>
              </w:rPr>
              <w:t>4208.2</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cs="Arial"/>
                <w:i w:val="0"/>
                <w:iCs w:val="0"/>
                <w:color w:val="000000"/>
                <w:kern w:val="0"/>
                <w:sz w:val="21"/>
                <w:szCs w:val="21"/>
                <w:u w:val="none"/>
                <w:lang w:val="en-US" w:eastAsia="zh-CN" w:bidi="ar-SA"/>
              </w:rPr>
              <w:t>85006.8</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w:t>
            </w:r>
          </w:p>
        </w:tc>
        <w:tc>
          <w:tcPr>
            <w:tcW w:w="2456" w:type="dxa"/>
            <w:vAlign w:val="center"/>
          </w:tcPr>
          <w:p>
            <w:pPr>
              <w:keepNext w:val="0"/>
              <w:keepLines w:val="0"/>
              <w:widowControl/>
              <w:suppressLineNumbers w:val="0"/>
              <w:jc w:val="center"/>
              <w:textAlignment w:val="center"/>
              <w:rPr>
                <w:rFonts w:hint="default" w:ascii="Arial" w:hAnsi="Arial" w:cs="Arial"/>
                <w:color w:val="000000"/>
                <w:szCs w:val="21"/>
                <w:u w:val="none"/>
              </w:rPr>
            </w:pPr>
            <w:r>
              <w:rPr>
                <w:rFonts w:hint="default" w:ascii="Arial" w:hAnsi="Arial" w:eastAsia="宋体" w:cs="Arial"/>
                <w:i w:val="0"/>
                <w:iCs w:val="0"/>
                <w:color w:val="000000"/>
                <w:kern w:val="0"/>
                <w:sz w:val="21"/>
                <w:szCs w:val="21"/>
                <w:u w:val="none"/>
                <w:lang w:val="en-US" w:eastAsia="zh-CN" w:bidi="ar-SA"/>
              </w:rPr>
              <w:t>371171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kWh</w:t>
            </w:r>
          </w:p>
        </w:tc>
        <w:tc>
          <w:tcPr>
            <w:tcW w:w="1134" w:type="dxa"/>
            <w:noWrap/>
            <w:vAlign w:val="center"/>
          </w:tcPr>
          <w:p>
            <w:pPr>
              <w:jc w:val="center"/>
              <w:textAlignment w:val="center"/>
              <w:rPr>
                <w:rFonts w:hint="default" w:ascii="Arial" w:hAnsi="Arial" w:cs="Arial"/>
                <w:color w:val="000000"/>
                <w:szCs w:val="21"/>
                <w:u w:val="none"/>
              </w:rPr>
            </w:pPr>
            <w:r>
              <w:rPr>
                <w:rFonts w:hint="default" w:ascii="Arial" w:hAnsi="Arial" w:cs="Arial"/>
                <w:color w:val="000000"/>
                <w:sz w:val="21"/>
                <w:szCs w:val="21"/>
                <w:u w:val="none"/>
              </w:rPr>
              <w:t>556009</w:t>
            </w:r>
          </w:p>
        </w:tc>
        <w:tc>
          <w:tcPr>
            <w:tcW w:w="1134" w:type="dxa"/>
            <w:noWrap/>
            <w:vAlign w:val="center"/>
          </w:tcPr>
          <w:p>
            <w:pPr>
              <w:spacing w:line="240" w:lineRule="auto"/>
              <w:jc w:val="center"/>
              <w:textAlignment w:val="center"/>
              <w:rPr>
                <w:rFonts w:hint="default" w:ascii="Arial" w:hAnsi="Arial" w:cs="Arial"/>
                <w:color w:val="000000"/>
                <w:szCs w:val="21"/>
                <w:u w:val="none"/>
              </w:rPr>
            </w:pPr>
            <w:r>
              <w:rPr>
                <w:rFonts w:hint="default" w:ascii="Arial" w:hAnsi="Arial" w:cs="Arial"/>
                <w:color w:val="000000"/>
                <w:szCs w:val="21"/>
                <w:u w:val="none"/>
              </w:rPr>
              <w:t>2.2</w:t>
            </w:r>
            <w:r>
              <w:rPr>
                <w:rFonts w:hint="default" w:ascii="Arial" w:hAnsi="Arial" w:cs="Arial"/>
                <w:color w:val="000000"/>
                <w:szCs w:val="21"/>
                <w:u w:val="none"/>
                <w:lang w:val="en-US" w:eastAsia="zh-CN"/>
              </w:rPr>
              <w:t>3</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SA"/>
              </w:rPr>
              <w:t>572255</w:t>
            </w:r>
          </w:p>
        </w:tc>
        <w:tc>
          <w:tcPr>
            <w:tcW w:w="1134" w:type="dxa"/>
            <w:noWrap/>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eastAsia="zh-CN" w:bidi="ar-SA"/>
              </w:rPr>
            </w:pPr>
            <w:r>
              <w:rPr>
                <w:rFonts w:hint="default" w:ascii="Arial" w:hAnsi="Arial" w:eastAsia="宋体" w:cs="Arial"/>
                <w:i w:val="0"/>
                <w:iCs w:val="0"/>
                <w:color w:val="000000"/>
                <w:kern w:val="0"/>
                <w:sz w:val="21"/>
                <w:szCs w:val="21"/>
                <w:u w:val="none"/>
                <w:lang w:val="en-US" w:eastAsia="zh-CN" w:bidi="ar-SA"/>
              </w:rPr>
              <w:t>2.4</w:t>
            </w:r>
            <w:r>
              <w:rPr>
                <w:rFonts w:hint="default" w:ascii="Arial" w:hAnsi="Arial" w:cs="Arial"/>
                <w:i w:val="0"/>
                <w:iCs w:val="0"/>
                <w:color w:val="000000"/>
                <w:kern w:val="0"/>
                <w:sz w:val="21"/>
                <w:szCs w:val="21"/>
                <w:u w:val="none"/>
                <w:lang w:val="en-US" w:eastAsia="zh-CN" w:bidi="ar-SA"/>
              </w:rPr>
              <w:t>8</w:t>
            </w:r>
          </w:p>
        </w:tc>
        <w:tc>
          <w:tcPr>
            <w:tcW w:w="2456" w:type="dxa"/>
            <w:vAlign w:val="center"/>
          </w:tcPr>
          <w:p>
            <w:pPr>
              <w:keepNext w:val="0"/>
              <w:keepLines w:val="0"/>
              <w:widowControl/>
              <w:suppressLineNumbers w:val="0"/>
              <w:jc w:val="center"/>
              <w:textAlignment w:val="center"/>
              <w:rPr>
                <w:rFonts w:hint="default" w:ascii="Arial" w:hAnsi="Arial" w:cs="Arial"/>
                <w:color w:val="000000"/>
                <w:szCs w:val="21"/>
                <w:u w:val="none"/>
              </w:rPr>
            </w:pPr>
            <w:r>
              <w:rPr>
                <w:rFonts w:hint="default" w:ascii="Arial" w:hAnsi="Arial" w:eastAsia="宋体" w:cs="Arial"/>
                <w:i w:val="0"/>
                <w:iCs w:val="0"/>
                <w:color w:val="000000"/>
                <w:kern w:val="0"/>
                <w:sz w:val="21"/>
                <w:szCs w:val="21"/>
                <w:u w:val="none"/>
                <w:lang w:val="en-US" w:eastAsia="zh-CN" w:bidi="ar-SA"/>
              </w:rPr>
              <w:t>2823686</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rPr>
          <w:szCs w:val="21"/>
        </w:rPr>
      </w:pPr>
      <w:r>
        <w:rPr>
          <w:rFonts w:hint="eastAsia"/>
          <w:szCs w:val="21"/>
        </w:rPr>
        <w:t>污水场生产给水主要为加药装置溶药、配药使用，消耗量较上月</w:t>
      </w:r>
      <w:r>
        <w:rPr>
          <w:rFonts w:hint="eastAsia"/>
          <w:szCs w:val="21"/>
          <w:lang w:val="en-US" w:eastAsia="zh-CN"/>
        </w:rPr>
        <w:t>降低8.9</w:t>
      </w:r>
      <w:r>
        <w:rPr>
          <w:rFonts w:hint="eastAsia"/>
          <w:szCs w:val="21"/>
        </w:rPr>
        <w:t>t，</w:t>
      </w:r>
      <w:r>
        <w:rPr>
          <w:rFonts w:hint="eastAsia"/>
          <w:szCs w:val="21"/>
          <w:lang w:val="en-US" w:eastAsia="zh-CN"/>
        </w:rPr>
        <w:t>现场配药提高配药浓度，减少配药次数</w:t>
      </w:r>
      <w:r>
        <w:rPr>
          <w:rFonts w:hint="eastAsia"/>
          <w:szCs w:val="21"/>
        </w:rPr>
        <w:t>。</w:t>
      </w:r>
    </w:p>
    <w:p>
      <w:pPr>
        <w:ind w:firstLine="420" w:firstLineChars="200"/>
        <w:rPr>
          <w:szCs w:val="21"/>
        </w:rPr>
      </w:pPr>
      <w:r>
        <w:rPr>
          <w:rFonts w:hint="eastAsia"/>
          <w:szCs w:val="21"/>
        </w:rPr>
        <w:t>低压蒸汽正常为废气深度处理脱附再生使用，消耗量较上月增加</w:t>
      </w:r>
      <w:r>
        <w:rPr>
          <w:rFonts w:hint="eastAsia"/>
          <w:szCs w:val="21"/>
          <w:lang w:val="en-US" w:eastAsia="zh-CN"/>
        </w:rPr>
        <w:t>18.85</w:t>
      </w:r>
      <w:r>
        <w:rPr>
          <w:rFonts w:hint="eastAsia"/>
          <w:szCs w:val="21"/>
        </w:rPr>
        <w:t>t，</w:t>
      </w:r>
      <w:r>
        <w:rPr>
          <w:rFonts w:hint="eastAsia"/>
          <w:szCs w:val="21"/>
          <w:lang w:val="en-US" w:eastAsia="zh-CN"/>
        </w:rPr>
        <w:t>分析原因如下：1.废气单元深度处理段活性炭纤维吸附箱</w:t>
      </w:r>
      <w:r>
        <w:rPr>
          <w:rFonts w:hint="eastAsia"/>
          <w:szCs w:val="21"/>
        </w:rPr>
        <w:t>第2套、第4套再生温度上升速率较慢且无法达到设计</w:t>
      </w:r>
      <w:r>
        <w:rPr>
          <w:rFonts w:hint="eastAsia"/>
          <w:szCs w:val="21"/>
          <w:lang w:val="en-US" w:eastAsia="zh-CN"/>
        </w:rPr>
        <w:t>联锁</w:t>
      </w:r>
      <w:r>
        <w:rPr>
          <w:rFonts w:hint="eastAsia"/>
          <w:szCs w:val="21"/>
        </w:rPr>
        <w:t>温度，</w:t>
      </w:r>
      <w:r>
        <w:rPr>
          <w:rFonts w:hint="eastAsia"/>
          <w:szCs w:val="21"/>
          <w:lang w:val="en-US" w:eastAsia="zh-CN"/>
        </w:rPr>
        <w:t>分析原因为蒸汽管内大量冷凝液进入吸附箱内</w:t>
      </w:r>
      <w:r>
        <w:rPr>
          <w:rFonts w:hint="eastAsia"/>
          <w:szCs w:val="21"/>
        </w:rPr>
        <w:t>，</w:t>
      </w:r>
      <w:r>
        <w:rPr>
          <w:rFonts w:hint="eastAsia"/>
          <w:szCs w:val="21"/>
          <w:lang w:val="en-US" w:eastAsia="zh-CN"/>
        </w:rPr>
        <w:t>故将界区内所有蒸汽导凝阀保持常开（微开）状态；2.本月污油量较大，污油脱水罐连续通入蒸汽进行加热破乳；导致</w:t>
      </w:r>
      <w:r>
        <w:rPr>
          <w:rFonts w:hint="eastAsia"/>
          <w:szCs w:val="21"/>
        </w:rPr>
        <w:t>本月蒸汽消耗量</w:t>
      </w:r>
      <w:r>
        <w:rPr>
          <w:rFonts w:hint="eastAsia"/>
          <w:szCs w:val="21"/>
          <w:lang w:val="en-US" w:eastAsia="zh-CN"/>
        </w:rPr>
        <w:t>有所上升</w:t>
      </w:r>
      <w:r>
        <w:rPr>
          <w:rFonts w:hint="eastAsia"/>
          <w:szCs w:val="21"/>
        </w:rPr>
        <w:t>。</w:t>
      </w:r>
    </w:p>
    <w:p>
      <w:pPr>
        <w:ind w:firstLine="420" w:firstLineChars="200"/>
        <w:rPr>
          <w:color w:val="auto"/>
          <w:szCs w:val="21"/>
        </w:rPr>
      </w:pPr>
      <w:r>
        <w:rPr>
          <w:rFonts w:hint="eastAsia"/>
          <w:color w:val="auto"/>
          <w:szCs w:val="21"/>
        </w:rPr>
        <w:t>本月工厂风消耗量</w:t>
      </w:r>
      <w:r>
        <w:rPr>
          <w:rFonts w:hint="eastAsia"/>
          <w:color w:val="auto"/>
          <w:szCs w:val="21"/>
          <w:lang w:val="en-US" w:eastAsia="zh-CN"/>
        </w:rPr>
        <w:t>与上月下降9551.3Nm</w:t>
      </w:r>
      <w:r>
        <w:rPr>
          <w:rFonts w:hint="eastAsia"/>
          <w:color w:val="auto"/>
          <w:szCs w:val="21"/>
          <w:vertAlign w:val="superscript"/>
          <w:lang w:val="en-US" w:eastAsia="zh-CN"/>
        </w:rPr>
        <w:t>3</w:t>
      </w:r>
      <w:r>
        <w:rPr>
          <w:rFonts w:hint="eastAsia"/>
          <w:color w:val="auto"/>
          <w:szCs w:val="21"/>
          <w:vertAlign w:val="baseline"/>
          <w:lang w:val="en-US" w:eastAsia="zh-CN"/>
        </w:rPr>
        <w:t>，</w:t>
      </w:r>
      <w:r>
        <w:rPr>
          <w:rFonts w:hint="eastAsia"/>
          <w:color w:val="auto"/>
          <w:szCs w:val="21"/>
          <w:lang w:val="en-US" w:eastAsia="zh-CN"/>
        </w:rPr>
        <w:t>属于正常消耗</w:t>
      </w:r>
      <w:r>
        <w:rPr>
          <w:rFonts w:hint="eastAsia"/>
          <w:color w:val="auto"/>
          <w:szCs w:val="21"/>
        </w:rPr>
        <w:t>。</w:t>
      </w:r>
    </w:p>
    <w:p>
      <w:pPr>
        <w:ind w:firstLine="420" w:firstLineChars="200"/>
        <w:rPr>
          <w:color w:val="auto"/>
          <w:szCs w:val="21"/>
        </w:rPr>
      </w:pPr>
      <w:r>
        <w:rPr>
          <w:rFonts w:hint="eastAsia"/>
          <w:color w:val="auto"/>
          <w:szCs w:val="21"/>
        </w:rPr>
        <w:t>本月仪表风消耗量相比上月</w:t>
      </w:r>
      <w:r>
        <w:rPr>
          <w:rFonts w:hint="eastAsia"/>
          <w:color w:val="auto"/>
          <w:szCs w:val="21"/>
          <w:lang w:val="en-US" w:eastAsia="zh-CN"/>
        </w:rPr>
        <w:t>增加7681.55</w:t>
      </w:r>
      <w:r>
        <w:rPr>
          <w:rFonts w:hint="eastAsia"/>
          <w:color w:val="auto"/>
          <w:szCs w:val="21"/>
        </w:rPr>
        <w:t>Nm³，</w:t>
      </w:r>
      <w:r>
        <w:rPr>
          <w:rFonts w:hint="eastAsia"/>
          <w:color w:val="auto"/>
          <w:szCs w:val="21"/>
          <w:lang w:val="en-US" w:eastAsia="zh-CN"/>
        </w:rPr>
        <w:t>主要原因：现场采用气动隔膜泵卸港储油泥，属于正常消耗。</w:t>
      </w:r>
    </w:p>
    <w:p>
      <w:pPr>
        <w:ind w:firstLine="420" w:firstLineChars="200"/>
        <w:rPr>
          <w:rFonts w:ascii="Arial" w:hAnsi="Arial" w:cs="Arial"/>
          <w:szCs w:val="21"/>
        </w:rPr>
      </w:pPr>
      <w:r>
        <w:rPr>
          <w:rFonts w:hint="eastAsia"/>
          <w:szCs w:val="21"/>
        </w:rPr>
        <w:t>本月污水场实际电量单耗</w:t>
      </w:r>
      <w:r>
        <w:rPr>
          <w:rFonts w:hint="eastAsia" w:ascii="宋体" w:hAnsi="宋体" w:eastAsia="宋体" w:cs="宋体"/>
          <w:i w:val="0"/>
          <w:iCs w:val="0"/>
          <w:color w:val="000000"/>
          <w:kern w:val="0"/>
          <w:sz w:val="22"/>
          <w:szCs w:val="22"/>
          <w:u w:val="none"/>
          <w:lang w:val="en-US" w:eastAsia="zh-CN" w:bidi="ar"/>
        </w:rPr>
        <w:t>2.4</w:t>
      </w:r>
      <w:r>
        <w:rPr>
          <w:rFonts w:hint="eastAsia" w:cs="宋体"/>
          <w:i w:val="0"/>
          <w:iCs w:val="0"/>
          <w:color w:val="000000"/>
          <w:kern w:val="0"/>
          <w:sz w:val="22"/>
          <w:szCs w:val="22"/>
          <w:u w:val="none"/>
          <w:lang w:val="en-US" w:eastAsia="zh-CN" w:bidi="ar"/>
        </w:rPr>
        <w:t>8</w:t>
      </w:r>
      <w:r>
        <w:rPr>
          <w:rFonts w:hint="eastAsia"/>
          <w:szCs w:val="21"/>
        </w:rPr>
        <w:t>h/m</w:t>
      </w:r>
      <w:r>
        <w:rPr>
          <w:rFonts w:hint="eastAsia"/>
          <w:szCs w:val="21"/>
          <w:vertAlign w:val="superscript"/>
        </w:rPr>
        <w:t>3</w:t>
      </w:r>
      <w:r>
        <w:rPr>
          <w:rFonts w:hint="eastAsia"/>
          <w:szCs w:val="21"/>
        </w:rPr>
        <w:t>污水，相比上月</w:t>
      </w:r>
      <w:r>
        <w:rPr>
          <w:rFonts w:hint="eastAsia"/>
          <w:szCs w:val="21"/>
          <w:lang w:val="en-US" w:eastAsia="zh-CN"/>
        </w:rPr>
        <w:t>稍有上升</w:t>
      </w:r>
      <w:r>
        <w:rPr>
          <w:rFonts w:hint="eastAsia"/>
          <w:szCs w:val="21"/>
        </w:rPr>
        <w:t>，属于正常消耗。</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hint="default" w:ascii="Arial" w:hAnsi="Arial" w:cs="Arial"/>
                <w:szCs w:val="21"/>
              </w:rPr>
            </w:pPr>
            <w:r>
              <w:rPr>
                <w:rFonts w:hint="default" w:ascii="Arial" w:hAnsi="Arial" w:cs="Arial"/>
                <w:szCs w:val="21"/>
              </w:rPr>
              <w:t>指标名称</w:t>
            </w:r>
          </w:p>
        </w:tc>
        <w:tc>
          <w:tcPr>
            <w:tcW w:w="708" w:type="dxa"/>
            <w:vMerge w:val="restart"/>
            <w:vAlign w:val="center"/>
          </w:tcPr>
          <w:p>
            <w:pPr>
              <w:spacing w:line="440" w:lineRule="exact"/>
              <w:jc w:val="center"/>
              <w:rPr>
                <w:rFonts w:hint="default" w:ascii="Arial" w:hAnsi="Arial" w:cs="Arial"/>
                <w:szCs w:val="21"/>
              </w:rPr>
            </w:pPr>
            <w:r>
              <w:rPr>
                <w:rFonts w:hint="default" w:ascii="Arial" w:hAnsi="Arial" w:cs="Arial"/>
                <w:szCs w:val="21"/>
              </w:rPr>
              <w:t>单位</w:t>
            </w:r>
          </w:p>
        </w:tc>
        <w:tc>
          <w:tcPr>
            <w:tcW w:w="2268" w:type="dxa"/>
            <w:gridSpan w:val="2"/>
            <w:noWrap/>
            <w:vAlign w:val="center"/>
          </w:tcPr>
          <w:p>
            <w:pPr>
              <w:spacing w:line="440" w:lineRule="exact"/>
              <w:jc w:val="center"/>
              <w:rPr>
                <w:rFonts w:hint="default" w:ascii="Arial" w:hAnsi="Arial" w:cs="Arial"/>
                <w:szCs w:val="21"/>
              </w:rPr>
            </w:pPr>
            <w:r>
              <w:rPr>
                <w:rFonts w:hint="default" w:ascii="Arial" w:hAnsi="Arial" w:cs="Arial"/>
                <w:szCs w:val="21"/>
              </w:rPr>
              <w:t>上月</w:t>
            </w:r>
          </w:p>
        </w:tc>
        <w:tc>
          <w:tcPr>
            <w:tcW w:w="2268" w:type="dxa"/>
            <w:gridSpan w:val="2"/>
            <w:noWrap/>
            <w:vAlign w:val="center"/>
          </w:tcPr>
          <w:p>
            <w:pPr>
              <w:spacing w:line="440" w:lineRule="exact"/>
              <w:jc w:val="center"/>
              <w:rPr>
                <w:rFonts w:hint="default" w:ascii="Arial" w:hAnsi="Arial" w:cs="Arial"/>
                <w:szCs w:val="21"/>
              </w:rPr>
            </w:pPr>
            <w:r>
              <w:rPr>
                <w:rFonts w:hint="default" w:ascii="Arial" w:hAnsi="Arial" w:cs="Arial"/>
                <w:szCs w:val="21"/>
              </w:rPr>
              <w:t>本月</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hint="default" w:ascii="Arial" w:hAnsi="Arial" w:cs="Arial"/>
                <w:szCs w:val="21"/>
              </w:rPr>
            </w:pPr>
          </w:p>
        </w:tc>
        <w:tc>
          <w:tcPr>
            <w:tcW w:w="708" w:type="dxa"/>
            <w:vMerge w:val="continue"/>
            <w:vAlign w:val="center"/>
          </w:tcPr>
          <w:p>
            <w:pPr>
              <w:spacing w:line="440" w:lineRule="exact"/>
              <w:jc w:val="center"/>
              <w:rPr>
                <w:rFonts w:hint="default" w:ascii="Arial" w:hAnsi="Arial" w:cs="Arial"/>
                <w:szCs w:val="21"/>
              </w:rPr>
            </w:pPr>
          </w:p>
        </w:tc>
        <w:tc>
          <w:tcPr>
            <w:tcW w:w="1387"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881"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1387" w:type="dxa"/>
            <w:noWrap/>
            <w:vAlign w:val="center"/>
          </w:tcPr>
          <w:p>
            <w:pPr>
              <w:spacing w:line="440" w:lineRule="exact"/>
              <w:jc w:val="center"/>
              <w:rPr>
                <w:rFonts w:hint="default" w:ascii="Arial" w:hAnsi="Arial" w:cs="Arial"/>
                <w:szCs w:val="21"/>
              </w:rPr>
            </w:pPr>
            <w:r>
              <w:rPr>
                <w:rFonts w:hint="default" w:ascii="Arial" w:hAnsi="Arial" w:cs="Arial"/>
                <w:szCs w:val="21"/>
              </w:rPr>
              <w:t>数量</w:t>
            </w:r>
          </w:p>
        </w:tc>
        <w:tc>
          <w:tcPr>
            <w:tcW w:w="881" w:type="dxa"/>
            <w:noWrap/>
            <w:vAlign w:val="center"/>
          </w:tcPr>
          <w:p>
            <w:pPr>
              <w:spacing w:line="440" w:lineRule="exact"/>
              <w:jc w:val="center"/>
              <w:rPr>
                <w:rFonts w:hint="default" w:ascii="Arial" w:hAnsi="Arial" w:cs="Arial"/>
                <w:szCs w:val="21"/>
              </w:rPr>
            </w:pPr>
            <w:r>
              <w:rPr>
                <w:rFonts w:hint="default" w:ascii="Arial" w:hAnsi="Arial" w:cs="Arial"/>
                <w:szCs w:val="21"/>
              </w:rPr>
              <w:t>单耗</w:t>
            </w:r>
          </w:p>
        </w:tc>
        <w:tc>
          <w:tcPr>
            <w:tcW w:w="2456" w:type="dxa"/>
            <w:vAlign w:val="center"/>
          </w:tcPr>
          <w:p>
            <w:pPr>
              <w:spacing w:line="440" w:lineRule="exact"/>
              <w:jc w:val="center"/>
              <w:rPr>
                <w:rFonts w:hint="default" w:ascii="Arial" w:hAnsi="Arial" w:cs="Arial"/>
                <w:szCs w:val="21"/>
              </w:rPr>
            </w:pPr>
            <w:r>
              <w:rPr>
                <w:rFonts w:hint="default"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hint="default" w:ascii="Arial" w:hAnsi="Arial" w:cs="Arial"/>
                <w:szCs w:val="21"/>
              </w:rPr>
            </w:pPr>
            <w:r>
              <w:rPr>
                <w:rFonts w:hint="default" w:ascii="Arial" w:hAnsi="Arial" w:cs="Arial"/>
                <w:szCs w:val="21"/>
              </w:rPr>
              <w:t>电</w:t>
            </w:r>
          </w:p>
        </w:tc>
        <w:tc>
          <w:tcPr>
            <w:tcW w:w="708" w:type="dxa"/>
            <w:noWrap/>
            <w:vAlign w:val="center"/>
          </w:tcPr>
          <w:p>
            <w:pPr>
              <w:spacing w:line="440" w:lineRule="exact"/>
              <w:jc w:val="center"/>
              <w:rPr>
                <w:rFonts w:hint="default" w:ascii="Arial" w:hAnsi="Arial" w:cs="Arial"/>
                <w:szCs w:val="21"/>
              </w:rPr>
            </w:pPr>
            <w:r>
              <w:rPr>
                <w:rFonts w:hint="default" w:ascii="Arial" w:hAnsi="Arial" w:cs="Arial"/>
                <w:szCs w:val="21"/>
              </w:rPr>
              <w:t>kWh</w:t>
            </w:r>
          </w:p>
        </w:tc>
        <w:tc>
          <w:tcPr>
            <w:tcW w:w="1387" w:type="dxa"/>
            <w:noWrap/>
            <w:vAlign w:val="center"/>
          </w:tcPr>
          <w:p>
            <w:pPr>
              <w:spacing w:line="440" w:lineRule="exact"/>
              <w:jc w:val="center"/>
              <w:rPr>
                <w:rFonts w:hint="default" w:ascii="Arial" w:hAnsi="Arial" w:cs="Arial"/>
                <w:color w:val="000000"/>
                <w:szCs w:val="22"/>
              </w:rPr>
            </w:pPr>
            <w:r>
              <w:rPr>
                <w:rFonts w:hint="default" w:ascii="Arial" w:hAnsi="Arial" w:cs="Arial"/>
                <w:color w:val="000000"/>
                <w:szCs w:val="22"/>
              </w:rPr>
              <w:t xml:space="preserve">11584.79 </w:t>
            </w:r>
          </w:p>
        </w:tc>
        <w:tc>
          <w:tcPr>
            <w:tcW w:w="881" w:type="dxa"/>
            <w:noWrap/>
            <w:vAlign w:val="center"/>
          </w:tcPr>
          <w:p>
            <w:pPr>
              <w:spacing w:line="440" w:lineRule="exact"/>
              <w:jc w:val="center"/>
              <w:rPr>
                <w:rFonts w:hint="default" w:ascii="Arial" w:hAnsi="Arial" w:cs="Arial"/>
                <w:color w:val="000000"/>
                <w:szCs w:val="22"/>
              </w:rPr>
            </w:pPr>
            <w:r>
              <w:rPr>
                <w:rFonts w:hint="default" w:ascii="Arial" w:hAnsi="Arial" w:cs="Arial"/>
                <w:color w:val="000000"/>
                <w:szCs w:val="22"/>
              </w:rPr>
              <w:t>-</w:t>
            </w:r>
          </w:p>
        </w:tc>
        <w:tc>
          <w:tcPr>
            <w:tcW w:w="1387" w:type="dxa"/>
            <w:noWrap/>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2"/>
                <w:u w:val="none"/>
                <w:lang w:val="en-US" w:eastAsia="zh-CN" w:bidi="ar-SA"/>
              </w:rPr>
            </w:pPr>
            <w:r>
              <w:rPr>
                <w:rFonts w:hint="default" w:ascii="Arial" w:hAnsi="Arial" w:eastAsia="宋体" w:cs="Arial"/>
                <w:i w:val="0"/>
                <w:iCs w:val="0"/>
                <w:color w:val="000000"/>
                <w:kern w:val="0"/>
                <w:sz w:val="21"/>
                <w:szCs w:val="22"/>
                <w:u w:val="none"/>
                <w:lang w:val="en-US" w:eastAsia="zh-CN" w:bidi="ar"/>
              </w:rPr>
              <w:t xml:space="preserve">10418.11 </w:t>
            </w:r>
          </w:p>
        </w:tc>
        <w:tc>
          <w:tcPr>
            <w:tcW w:w="881" w:type="dxa"/>
            <w:noWrap/>
            <w:vAlign w:val="center"/>
          </w:tcPr>
          <w:p>
            <w:pPr>
              <w:spacing w:line="440" w:lineRule="exact"/>
              <w:jc w:val="center"/>
              <w:rPr>
                <w:rFonts w:hint="default" w:ascii="Arial" w:hAnsi="Arial" w:cs="Arial"/>
                <w:color w:val="000000"/>
                <w:szCs w:val="22"/>
              </w:rPr>
            </w:pPr>
            <w:r>
              <w:rPr>
                <w:rFonts w:hint="default" w:ascii="Arial" w:hAnsi="Arial" w:cs="Arial"/>
                <w:color w:val="000000"/>
                <w:szCs w:val="22"/>
              </w:rPr>
              <w:t>-</w:t>
            </w:r>
          </w:p>
        </w:tc>
        <w:tc>
          <w:tcPr>
            <w:tcW w:w="2456" w:type="dxa"/>
            <w:vAlign w:val="center"/>
          </w:tcPr>
          <w:p>
            <w:pPr>
              <w:keepNext w:val="0"/>
              <w:keepLines w:val="0"/>
              <w:widowControl/>
              <w:suppressLineNumbers w:val="0"/>
              <w:spacing w:line="440" w:lineRule="exact"/>
              <w:jc w:val="center"/>
              <w:textAlignment w:val="auto"/>
              <w:rPr>
                <w:rFonts w:hint="default" w:ascii="Arial" w:hAnsi="Arial" w:eastAsia="宋体" w:cs="Arial"/>
                <w:i w:val="0"/>
                <w:iCs w:val="0"/>
                <w:color w:val="000000"/>
                <w:sz w:val="21"/>
                <w:szCs w:val="22"/>
                <w:u w:val="none"/>
                <w:lang w:val="en-US" w:eastAsia="zh-CN" w:bidi="ar-SA"/>
              </w:rPr>
            </w:pPr>
            <w:r>
              <w:rPr>
                <w:rFonts w:hint="default" w:ascii="Arial" w:hAnsi="Arial" w:eastAsia="宋体" w:cs="Arial"/>
                <w:i w:val="0"/>
                <w:iCs w:val="0"/>
                <w:color w:val="000000"/>
                <w:kern w:val="0"/>
                <w:sz w:val="21"/>
                <w:szCs w:val="22"/>
                <w:u w:val="none"/>
                <w:lang w:val="en-US" w:eastAsia="zh-CN" w:bidi="ar"/>
              </w:rPr>
              <w:t>48599.83</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w:t>
      </w:r>
      <w:r>
        <w:rPr>
          <w:rFonts w:hint="eastAsia"/>
          <w:szCs w:val="21"/>
          <w:lang w:val="en-US" w:eastAsia="zh-CN"/>
        </w:rPr>
        <w:t>较上月有所下降</w:t>
      </w:r>
      <w:r>
        <w:rPr>
          <w:rFonts w:hint="eastAsia"/>
          <w:szCs w:val="21"/>
        </w:rPr>
        <w:t>，</w:t>
      </w:r>
      <w:r>
        <w:rPr>
          <w:rFonts w:hint="eastAsia"/>
          <w:szCs w:val="21"/>
          <w:lang w:val="en-US" w:eastAsia="zh-CN"/>
        </w:rPr>
        <w:t>故</w:t>
      </w:r>
      <w:r>
        <w:rPr>
          <w:rFonts w:hint="eastAsia"/>
          <w:szCs w:val="21"/>
        </w:rPr>
        <w:t>电耗较上月</w:t>
      </w:r>
      <w:r>
        <w:rPr>
          <w:rFonts w:hint="eastAsia"/>
          <w:szCs w:val="21"/>
          <w:lang w:val="en-US" w:eastAsia="zh-CN"/>
        </w:rPr>
        <w:t>略有下降</w:t>
      </w:r>
      <w:r>
        <w:rPr>
          <w:rFonts w:hint="eastAsia"/>
          <w:szCs w:val="21"/>
        </w:rPr>
        <w:t>，属于正常消耗。</w:t>
      </w:r>
    </w:p>
    <w:p>
      <w:pPr>
        <w:rPr>
          <w:rFonts w:ascii="Arial" w:hAnsi="Arial" w:cs="Arial"/>
          <w:szCs w:val="21"/>
        </w:rPr>
      </w:pPr>
    </w:p>
    <w:p>
      <w:pPr>
        <w:pStyle w:val="3"/>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hint="eastAsia"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rFonts w:hint="eastAsia"/>
          <w:szCs w:val="21"/>
        </w:rPr>
      </w:pPr>
    </w:p>
    <w:p>
      <w:pPr>
        <w:ind w:firstLine="420" w:firstLineChars="200"/>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rPr>
          <w:szCs w:val="21"/>
        </w:rPr>
      </w:pPr>
      <w:r>
        <w:rPr>
          <w:rFonts w:hint="eastAsia"/>
          <w:szCs w:val="21"/>
        </w:rPr>
        <w:t>（2）污水场加强油泥、浮渣、剩余活性污泥脱水，因污泥浓缩罐时常出现堵塞情况，怕对离心机造成损害，现在离心机进料口出增加盲板，排泥直接进入料斗送往热电。达到降低电耗节能和保护离心机目的。</w:t>
      </w:r>
    </w:p>
    <w:p>
      <w:pPr>
        <w:ind w:firstLine="420" w:firstLineChars="200"/>
        <w:rPr>
          <w:szCs w:val="21"/>
        </w:rPr>
      </w:pPr>
      <w:r>
        <w:rPr>
          <w:rFonts w:hint="eastAsia"/>
          <w:szCs w:val="21"/>
        </w:rPr>
        <w:t>（3） 污水场停运或间歇运行含盐、含盐高位反应槽搅拌机，较之前每小时可以节省电耗约4.4KW。</w:t>
      </w:r>
    </w:p>
    <w:p>
      <w:pPr>
        <w:ind w:firstLine="420" w:firstLineChars="200"/>
        <w:rPr>
          <w:szCs w:val="21"/>
        </w:rPr>
      </w:pPr>
      <w:r>
        <w:rPr>
          <w:rFonts w:hint="eastAsia"/>
          <w:szCs w:val="21"/>
        </w:rPr>
        <w:t>（4）污水场优化二级</w:t>
      </w:r>
      <w:r>
        <w:rPr>
          <w:rFonts w:hint="eastAsia"/>
          <w:szCs w:val="21"/>
          <w:lang w:val="en-US" w:eastAsia="zh-CN"/>
        </w:rPr>
        <w:t>气浮</w:t>
      </w:r>
      <w:r>
        <w:rPr>
          <w:rFonts w:hint="eastAsia"/>
          <w:szCs w:val="21"/>
        </w:rPr>
        <w:t>加药量，实现动态调整，降低“三剂”消耗量。</w:t>
      </w:r>
    </w:p>
    <w:p>
      <w:pPr>
        <w:ind w:firstLine="420" w:firstLineChars="200"/>
        <w:rPr>
          <w:rFonts w:hint="eastAsia"/>
          <w:szCs w:val="21"/>
        </w:rPr>
      </w:pPr>
      <w:r>
        <w:rPr>
          <w:rFonts w:hint="eastAsia"/>
          <w:szCs w:val="21"/>
        </w:rPr>
        <w:t>（5）一循环水场优化补水方式，提升浓缩倍数、延长旁滤系统反洗周期，降低海淡补水量。</w:t>
      </w:r>
    </w:p>
    <w:p>
      <w:pPr>
        <w:ind w:firstLine="420" w:firstLineChars="200"/>
        <w:rPr>
          <w:rFonts w:hint="default" w:eastAsia="宋体"/>
          <w:szCs w:val="21"/>
          <w:lang w:val="en-US" w:eastAsia="zh-CN"/>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lang w:val="en-US" w:eastAsia="zh-CN"/>
        </w:rPr>
        <w:t>本月尝试两级气浮单列运行模式，单列DAF过水量可高达130-160m³/h，若上游各装置来水量减少时，两级气浮可切换至单列运行模式，降低电耗以及“三剂”消耗量。</w:t>
      </w:r>
    </w:p>
    <w:p>
      <w:pPr>
        <w:outlineLvl w:val="2"/>
        <w:rPr>
          <w:rFonts w:hint="eastAsia"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rFonts w:hint="eastAsia"/>
          <w:szCs w:val="21"/>
        </w:rPr>
      </w:pPr>
    </w:p>
    <w:p>
      <w:pPr>
        <w:ind w:firstLine="420" w:firstLineChars="200"/>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rPr>
          <w:szCs w:val="21"/>
        </w:rPr>
      </w:pPr>
      <w:r>
        <w:rPr>
          <w:rFonts w:hint="eastAsia"/>
          <w:szCs w:val="21"/>
        </w:rPr>
        <w:t>关于港储高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hint="eastAsia" w:ascii="Arial" w:hAnsi="Arial" w:eastAsia="宋体" w:cs="Arial"/>
          <w:bCs w:val="0"/>
          <w:kern w:val="2"/>
          <w:szCs w:val="20"/>
        </w:rPr>
      </w:pPr>
      <w:bookmarkStart w:id="44" w:name="_Toc15388"/>
      <w:bookmarkStart w:id="45" w:name="_Toc269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hint="eastAsia" w:ascii="Arial" w:hAnsi="Arial" w:cs="Arial"/>
          <w:bCs w:val="0"/>
          <w:szCs w:val="20"/>
        </w:rPr>
      </w:pPr>
      <w:bookmarkStart w:id="46" w:name="_Toc34415486"/>
      <w:bookmarkStart w:id="47" w:name="_Toc27596"/>
      <w:bookmarkStart w:id="48" w:name="_Toc25183"/>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rFonts w:hint="eastAsia"/>
          <w:szCs w:val="21"/>
        </w:rPr>
      </w:pPr>
    </w:p>
    <w:p>
      <w:pPr>
        <w:ind w:firstLine="420" w:firstLineChars="200"/>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rPr>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先进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w:t>
      </w:r>
      <w:r>
        <w:rPr>
          <w:rFonts w:hint="eastAsia"/>
          <w:color w:val="000000" w:themeColor="text1"/>
          <w:szCs w:val="21"/>
          <w:lang w:val="en-US" w:eastAsia="zh-CN"/>
          <w14:textFill>
            <w14:solidFill>
              <w14:schemeClr w14:val="tx1"/>
            </w14:solidFill>
          </w14:textFill>
        </w:rPr>
        <w:t>31</w:t>
      </w:r>
      <w:r>
        <w:rPr>
          <w:rFonts w:hint="eastAsia"/>
          <w:color w:val="000000" w:themeColor="text1"/>
          <w:szCs w:val="21"/>
          <w14:textFill>
            <w14:solidFill>
              <w14:schemeClr w14:val="tx1"/>
            </w14:solidFill>
          </w14:textFill>
        </w:rPr>
        <w:t>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rPr>
          <w:szCs w:val="21"/>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pPr>
        <w:ind w:firstLine="420" w:firstLineChars="200"/>
        <w:rPr>
          <w:bCs/>
          <w:color w:val="000000" w:themeColor="text1"/>
          <w:szCs w:val="21"/>
          <w14:textFill>
            <w14:solidFill>
              <w14:schemeClr w14:val="tx1"/>
            </w14:solidFill>
          </w14:textFill>
        </w:rPr>
      </w:pPr>
      <w:r>
        <w:rPr>
          <w:rFonts w:hint="eastAsia"/>
          <w:bCs/>
          <w:szCs w:val="21"/>
        </w:rPr>
        <w:t>为有效撑握碱渣罐内水质，已与碱渣输送装置负责人沟通，每次送碱渣必须取样分析p</w:t>
      </w:r>
      <w:r>
        <w:rPr>
          <w:bCs/>
          <w:szCs w:val="21"/>
        </w:rPr>
        <w:t>H</w:t>
      </w:r>
      <w:r>
        <w:rPr>
          <w:rFonts w:hint="eastAsia"/>
          <w:bCs/>
          <w:szCs w:val="21"/>
        </w:rPr>
        <w:t>、C</w:t>
      </w:r>
      <w:r>
        <w:rPr>
          <w:bCs/>
          <w:szCs w:val="21"/>
        </w:rPr>
        <w:t>OD</w:t>
      </w:r>
      <w:r>
        <w:rPr>
          <w:rFonts w:hint="eastAsia"/>
          <w:bCs/>
          <w:szCs w:val="21"/>
        </w:rPr>
        <w:t>、硫化物、石油类，以此方式对碱渣罐</w:t>
      </w:r>
      <w:r>
        <w:rPr>
          <w:rFonts w:hint="eastAsia"/>
          <w:bCs/>
          <w:color w:val="000000" w:themeColor="text1"/>
          <w:szCs w:val="21"/>
          <w14:textFill>
            <w14:solidFill>
              <w14:schemeClr w14:val="tx1"/>
            </w14:solidFill>
          </w14:textFill>
        </w:rPr>
        <w:t>内水质进行监控、跟踪。</w:t>
      </w:r>
    </w:p>
    <w:p>
      <w:pPr>
        <w:ind w:firstLine="422" w:firstLineChars="200"/>
        <w:rPr>
          <w:b/>
          <w:color w:val="FF0000"/>
          <w:szCs w:val="21"/>
        </w:rPr>
      </w:pPr>
      <w:r>
        <w:rPr>
          <w:rFonts w:hint="eastAsia"/>
          <w:b/>
          <w:bCs/>
          <w:color w:val="000000" w:themeColor="text1"/>
          <w:szCs w:val="21"/>
          <w14:textFill>
            <w14:solidFill>
              <w14:schemeClr w14:val="tx1"/>
            </w14:solidFill>
          </w14:textFill>
        </w:rPr>
        <w:t>本月碱渣COD、碱度波动较大，COD最高</w:t>
      </w:r>
      <w:r>
        <w:rPr>
          <w:rFonts w:hint="eastAsia"/>
          <w:b/>
          <w:bCs/>
          <w:color w:val="000000" w:themeColor="text1"/>
          <w:szCs w:val="21"/>
          <w:lang w:val="en-US" w:eastAsia="zh-CN"/>
          <w14:textFill>
            <w14:solidFill>
              <w14:schemeClr w14:val="tx1"/>
            </w14:solidFill>
          </w14:textFill>
        </w:rPr>
        <w:t>31000</w:t>
      </w:r>
      <w:r>
        <w:rPr>
          <w:rFonts w:hint="eastAsia"/>
          <w:b/>
          <w:bCs/>
          <w:color w:val="000000" w:themeColor="text1"/>
          <w:szCs w:val="21"/>
          <w14:textFill>
            <w14:solidFill>
              <w14:schemeClr w14:val="tx1"/>
            </w14:solidFill>
          </w14:textFill>
        </w:rPr>
        <w:t>mg/L,最低2</w:t>
      </w:r>
      <w:r>
        <w:rPr>
          <w:rFonts w:hint="eastAsia"/>
          <w:b/>
          <w:bCs/>
          <w:color w:val="000000" w:themeColor="text1"/>
          <w:szCs w:val="21"/>
          <w:lang w:val="en-US" w:eastAsia="zh-CN"/>
          <w14:textFill>
            <w14:solidFill>
              <w14:schemeClr w14:val="tx1"/>
            </w14:solidFill>
          </w14:textFill>
        </w:rPr>
        <w:t>38</w:t>
      </w:r>
      <w:r>
        <w:rPr>
          <w:b/>
          <w:bCs/>
          <w:color w:val="000000" w:themeColor="text1"/>
          <w:szCs w:val="21"/>
          <w14:textFill>
            <w14:solidFill>
              <w14:schemeClr w14:val="tx1"/>
            </w14:solidFill>
          </w14:textFill>
        </w:rPr>
        <w:t>00</w:t>
      </w:r>
      <w:r>
        <w:rPr>
          <w:rFonts w:hint="eastAsia"/>
          <w:b/>
          <w:bCs/>
          <w:color w:val="000000" w:themeColor="text1"/>
          <w:szCs w:val="21"/>
          <w14:textFill>
            <w14:solidFill>
              <w14:schemeClr w14:val="tx1"/>
            </w14:solidFill>
          </w14:textFill>
        </w:rPr>
        <w:t>mg/L；碱度最高</w:t>
      </w:r>
      <w:r>
        <w:rPr>
          <w:rFonts w:hint="eastAsia"/>
          <w:b/>
          <w:bCs/>
          <w:color w:val="000000" w:themeColor="text1"/>
          <w:szCs w:val="21"/>
          <w:lang w:val="en-US" w:eastAsia="zh-CN"/>
          <w14:textFill>
            <w14:solidFill>
              <w14:schemeClr w14:val="tx1"/>
            </w14:solidFill>
          </w14:textFill>
        </w:rPr>
        <w:t>25200</w:t>
      </w:r>
      <w:r>
        <w:rPr>
          <w:rFonts w:hint="eastAsia"/>
          <w:b/>
          <w:bCs/>
          <w:color w:val="000000" w:themeColor="text1"/>
          <w:szCs w:val="21"/>
          <w14:textFill>
            <w14:solidFill>
              <w14:schemeClr w14:val="tx1"/>
            </w14:solidFill>
          </w14:textFill>
        </w:rPr>
        <w:t>mg/L，最低1</w:t>
      </w:r>
      <w:r>
        <w:rPr>
          <w:rFonts w:hint="eastAsia"/>
          <w:b/>
          <w:bCs/>
          <w:color w:val="000000" w:themeColor="text1"/>
          <w:szCs w:val="21"/>
          <w:lang w:val="en-US" w:eastAsia="zh-CN"/>
          <w14:textFill>
            <w14:solidFill>
              <w14:schemeClr w14:val="tx1"/>
            </w14:solidFill>
          </w14:textFill>
        </w:rPr>
        <w:t>89</w:t>
      </w:r>
      <w:r>
        <w:rPr>
          <w:b/>
          <w:bCs/>
          <w:color w:val="000000" w:themeColor="text1"/>
          <w:szCs w:val="21"/>
          <w14:textFill>
            <w14:solidFill>
              <w14:schemeClr w14:val="tx1"/>
            </w14:solidFill>
          </w14:textFill>
        </w:rPr>
        <w:t>00</w:t>
      </w:r>
      <w:r>
        <w:rPr>
          <w:rFonts w:hint="eastAsia"/>
          <w:b/>
          <w:bCs/>
          <w:color w:val="000000" w:themeColor="text1"/>
          <w:szCs w:val="21"/>
          <w14:textFill>
            <w14:solidFill>
              <w14:schemeClr w14:val="tx1"/>
            </w14:solidFill>
          </w14:textFill>
        </w:rPr>
        <w:t>mg/L</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硫化物最高326.84mg/L，最低128.04mg/L</w:t>
      </w:r>
      <w:r>
        <w:rPr>
          <w:rFonts w:hint="eastAsia"/>
          <w:b/>
          <w:bCs/>
          <w:color w:val="000000" w:themeColor="text1"/>
          <w:szCs w:val="21"/>
          <w14:textFill>
            <w14:solidFill>
              <w14:schemeClr w14:val="tx1"/>
            </w14:solidFill>
          </w14:textFill>
        </w:rPr>
        <w:t>。</w:t>
      </w:r>
    </w:p>
    <w:p>
      <w:pPr>
        <w:pStyle w:val="3"/>
        <w:spacing w:line="360" w:lineRule="exact"/>
        <w:rPr>
          <w:rFonts w:hint="eastAsia" w:ascii="Arial" w:hAnsi="Arial" w:cs="Arial"/>
          <w:bCs w:val="0"/>
          <w:szCs w:val="20"/>
        </w:rPr>
      </w:pPr>
      <w:bookmarkStart w:id="49" w:name="_Toc31873"/>
      <w:bookmarkStart w:id="50" w:name="_Toc28759"/>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rFonts w:hint="eastAsia"/>
          <w:szCs w:val="21"/>
        </w:rPr>
      </w:pPr>
    </w:p>
    <w:p>
      <w:pPr>
        <w:ind w:firstLine="420" w:firstLineChars="200"/>
        <w:rPr>
          <w:color w:val="auto"/>
          <w:szCs w:val="21"/>
        </w:rPr>
      </w:pPr>
      <w:r>
        <w:rPr>
          <w:rFonts w:hint="eastAsia"/>
          <w:color w:val="auto"/>
          <w:szCs w:val="21"/>
        </w:rPr>
        <w:t>本月含油系列：汽提净化p</w:t>
      </w:r>
      <w:r>
        <w:rPr>
          <w:color w:val="auto"/>
          <w:szCs w:val="21"/>
        </w:rPr>
        <w:t>H</w:t>
      </w:r>
      <w:r>
        <w:rPr>
          <w:rFonts w:hint="eastAsia"/>
          <w:color w:val="auto"/>
          <w:szCs w:val="21"/>
        </w:rPr>
        <w:t>最大值</w:t>
      </w:r>
      <w:r>
        <w:rPr>
          <w:rFonts w:hint="eastAsia"/>
          <w:color w:val="auto"/>
          <w:szCs w:val="21"/>
          <w:lang w:val="en-US" w:eastAsia="zh-CN"/>
        </w:rPr>
        <w:t>10.09</w:t>
      </w:r>
      <w:r>
        <w:rPr>
          <w:rFonts w:hint="eastAsia"/>
          <w:color w:val="auto"/>
          <w:szCs w:val="21"/>
        </w:rPr>
        <w:t>，平均值</w:t>
      </w:r>
      <w:r>
        <w:rPr>
          <w:rFonts w:hint="eastAsia"/>
          <w:color w:val="auto"/>
          <w:szCs w:val="21"/>
          <w:lang w:val="en-US" w:eastAsia="zh-CN"/>
        </w:rPr>
        <w:t>9.13</w:t>
      </w:r>
      <w:r>
        <w:rPr>
          <w:rFonts w:hint="eastAsia"/>
          <w:color w:val="auto"/>
          <w:szCs w:val="21"/>
        </w:rPr>
        <w:t>，其它指标较稳定；灵活焦化污水p</w:t>
      </w:r>
      <w:r>
        <w:rPr>
          <w:color w:val="auto"/>
          <w:szCs w:val="21"/>
        </w:rPr>
        <w:t>H</w:t>
      </w:r>
      <w:r>
        <w:rPr>
          <w:rFonts w:hint="eastAsia"/>
          <w:color w:val="auto"/>
          <w:szCs w:val="21"/>
        </w:rPr>
        <w:t>最大值</w:t>
      </w:r>
      <w:r>
        <w:rPr>
          <w:rFonts w:hint="eastAsia"/>
          <w:color w:val="auto"/>
          <w:szCs w:val="21"/>
          <w:lang w:val="en-US" w:eastAsia="zh-CN"/>
        </w:rPr>
        <w:t>9.53</w:t>
      </w:r>
      <w:r>
        <w:rPr>
          <w:rFonts w:hint="eastAsia"/>
          <w:color w:val="auto"/>
          <w:szCs w:val="21"/>
        </w:rPr>
        <w:t>，平均值</w:t>
      </w:r>
      <w:r>
        <w:rPr>
          <w:rFonts w:hint="eastAsia"/>
          <w:color w:val="auto"/>
          <w:szCs w:val="21"/>
          <w:lang w:val="en-US" w:eastAsia="zh-CN"/>
        </w:rPr>
        <w:t>8.70</w:t>
      </w:r>
      <w:r>
        <w:rPr>
          <w:rFonts w:hint="eastAsia"/>
          <w:color w:val="auto"/>
          <w:szCs w:val="21"/>
        </w:rPr>
        <w:t>。氨氮最大值</w:t>
      </w:r>
      <w:r>
        <w:rPr>
          <w:rFonts w:hint="eastAsia"/>
          <w:color w:val="auto"/>
          <w:szCs w:val="21"/>
          <w:lang w:val="en-US" w:eastAsia="zh-CN"/>
        </w:rPr>
        <w:t>31.72</w:t>
      </w:r>
      <w:r>
        <w:rPr>
          <w:rFonts w:hint="eastAsia"/>
          <w:color w:val="auto"/>
          <w:szCs w:val="21"/>
        </w:rPr>
        <w:t>mg/L，平均值</w:t>
      </w:r>
      <w:r>
        <w:rPr>
          <w:rFonts w:hint="eastAsia"/>
          <w:color w:val="auto"/>
          <w:szCs w:val="21"/>
          <w:lang w:val="en-US" w:eastAsia="zh-CN"/>
        </w:rPr>
        <w:t>17.06</w:t>
      </w:r>
      <w:r>
        <w:rPr>
          <w:rFonts w:hint="eastAsia"/>
          <w:color w:val="auto"/>
          <w:szCs w:val="21"/>
        </w:rPr>
        <w:t>mg/L，其它指标本月均正常；4208罐区高浓度环丁砜含油污水先进入含油事故B罐暂存，再通过配水稀释后进含油污水调节罐，芳烃含油污水、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rPr>
          <w:color w:val="auto"/>
          <w:szCs w:val="21"/>
        </w:rPr>
      </w:pPr>
      <w:r>
        <w:rPr>
          <w:rFonts w:hint="eastAsia"/>
          <w:color w:val="auto"/>
          <w:szCs w:val="21"/>
        </w:rPr>
        <w:t>含盐污水系列：生活污水、循环水排污水质稳定；原油罐区脱水盐含量高，先进T1004B暂存，再通过配水稀释后进含盐污水调节罐，以缓解高盐、高浓度氯离子污水对生化系统的影响。</w:t>
      </w:r>
    </w:p>
    <w:p>
      <w:pPr>
        <w:ind w:firstLine="420" w:firstLineChars="200"/>
        <w:rPr>
          <w:rFonts w:ascii="Arial" w:hAnsi="Arial" w:cs="Arial"/>
          <w:color w:val="auto"/>
          <w:szCs w:val="21"/>
        </w:rPr>
      </w:pPr>
      <w:r>
        <w:rPr>
          <w:rFonts w:hint="eastAsia"/>
          <w:color w:val="auto"/>
          <w:szCs w:val="21"/>
        </w:rPr>
        <w:t>湖水原水中氯离子目前稳定在</w:t>
      </w:r>
      <w:r>
        <w:rPr>
          <w:rFonts w:hint="eastAsia"/>
          <w:color w:val="auto"/>
          <w:szCs w:val="21"/>
          <w:lang w:eastAsia="zh-CN"/>
        </w:rPr>
        <w:t>9</w:t>
      </w:r>
      <w:r>
        <w:rPr>
          <w:rFonts w:hint="eastAsia"/>
          <w:color w:val="auto"/>
          <w:szCs w:val="21"/>
          <w:lang w:val="en-US" w:eastAsia="zh-CN"/>
        </w:rPr>
        <w:t>8</w:t>
      </w:r>
      <w:r>
        <w:rPr>
          <w:rFonts w:hint="eastAsia"/>
          <w:color w:val="auto"/>
          <w:szCs w:val="21"/>
        </w:rPr>
        <w:t>～1</w:t>
      </w:r>
      <w:r>
        <w:rPr>
          <w:rFonts w:hint="eastAsia"/>
          <w:color w:val="auto"/>
          <w:szCs w:val="21"/>
          <w:lang w:eastAsia="zh-CN"/>
        </w:rPr>
        <w:t>4</w:t>
      </w:r>
      <w:r>
        <w:rPr>
          <w:rFonts w:hint="eastAsia"/>
          <w:color w:val="auto"/>
          <w:szCs w:val="21"/>
          <w:lang w:val="en-US" w:eastAsia="zh-CN"/>
        </w:rPr>
        <w:t>2.5</w:t>
      </w:r>
      <w:r>
        <w:rPr>
          <w:color w:val="auto"/>
          <w:szCs w:val="21"/>
        </w:rPr>
        <w:t>mg/L</w:t>
      </w:r>
      <w:r>
        <w:rPr>
          <w:rFonts w:hint="eastAsia"/>
          <w:color w:val="auto"/>
          <w:szCs w:val="21"/>
        </w:rPr>
        <w:t>的范围，其它指标均正常。</w:t>
      </w:r>
      <w:bookmarkStart w:id="51" w:name="_Toc32207"/>
      <w:bookmarkStart w:id="52" w:name="_Toc1880"/>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ascii="Arial" w:hAnsi="Arial" w:cs="Arial"/>
          <w:szCs w:val="21"/>
        </w:rPr>
      </w:pPr>
    </w:p>
    <w:p>
      <w:pPr>
        <w:outlineLvl w:val="0"/>
        <w:rPr>
          <w:rFonts w:hint="eastAsia" w:ascii="Arial" w:hAnsi="Arial" w:eastAsia="黑体" w:cs="Arial"/>
          <w:bCs w:val="0"/>
          <w:szCs w:val="20"/>
          <w:lang w:eastAsia="zh-CN"/>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25234"/>
      <w:bookmarkStart w:id="54" w:name="_Toc16972"/>
    </w:p>
    <w:p>
      <w:pPr>
        <w:pStyle w:val="3"/>
        <w:spacing w:line="360" w:lineRule="exact"/>
        <w:rPr>
          <w:rFonts w:hint="eastAsia"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hint="eastAsia" w:ascii="Arial" w:hAnsi="Arial" w:eastAsia="黑体" w:cs="Arial"/>
          <w:szCs w:val="20"/>
        </w:rPr>
      </w:pPr>
    </w:p>
    <w:p>
      <w:pPr>
        <w:outlineLvl w:val="2"/>
        <w:rPr>
          <w:rFonts w:hint="eastAsia"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hint="eastAsia" w:ascii="Cambria" w:hAnsi="Cambria" w:eastAsia="黑体"/>
          <w:bCs/>
          <w:szCs w:val="32"/>
        </w:rPr>
      </w:pPr>
    </w:p>
    <w:p>
      <w:pPr>
        <w:rPr>
          <w:rFonts w:hint="eastAsia"/>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234315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szCs w:val="21"/>
        </w:rPr>
        <w:t>全月湖水利用单元间断运行产水</w:t>
      </w:r>
      <w:r>
        <w:rPr>
          <w:rFonts w:hint="eastAsia"/>
          <w:szCs w:val="21"/>
          <w:lang w:val="en-US" w:eastAsia="zh-CN"/>
        </w:rPr>
        <w:t>12</w:t>
      </w:r>
      <w:r>
        <w:rPr>
          <w:rFonts w:hint="eastAsia"/>
          <w:szCs w:val="21"/>
        </w:rPr>
        <w:t>次，各项指标均在控制范围内。</w:t>
      </w:r>
    </w:p>
    <w:p>
      <w:pPr>
        <w:jc w:val="center"/>
        <w:rPr>
          <w:rFonts w:hint="eastAsia" w:ascii="黑体" w:hAnsi="黑体" w:eastAsia="黑体" w:cs="黑体"/>
          <w:szCs w:val="21"/>
        </w:rPr>
      </w:pPr>
      <w:r>
        <w:rPr>
          <w:rFonts w:hint="eastAsia" w:ascii="黑体" w:hAnsi="黑体" w:eastAsia="黑体" w:cs="黑体"/>
          <w:szCs w:val="21"/>
        </w:rPr>
        <w:t>图5-1湖水产水浊度趋势图</w:t>
      </w:r>
    </w:p>
    <w:p>
      <w:pPr>
        <w:jc w:val="left"/>
        <w:rPr>
          <w:rFonts w:ascii="黑体" w:hAnsi="黑体" w:eastAsia="黑体"/>
          <w:b/>
          <w:szCs w:val="21"/>
        </w:rPr>
      </w:pPr>
      <w:r>
        <w:rPr>
          <w:rFonts w:hint="eastAsia"/>
          <w:szCs w:val="21"/>
        </w:rPr>
        <w:t>本月湖水产水浊度合格，均控制在指标范围3NTU以下。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黑体" w:hAnsi="黑体" w:eastAsia="黑体" w:cs="黑体"/>
          <w:szCs w:val="21"/>
        </w:rPr>
        <w:t>图5-2  湖水产水pH趋势图</w:t>
      </w:r>
    </w:p>
    <w:p>
      <w:pPr>
        <w:jc w:val="both"/>
        <w:rPr>
          <w:szCs w:val="21"/>
        </w:rPr>
      </w:pPr>
      <w:r>
        <w:rPr>
          <w:rFonts w:hint="eastAsia"/>
          <w:szCs w:val="21"/>
        </w:rPr>
        <w:t>本月湖水产水pH合格，均控制在指标6.5～8.5范围。</w:t>
      </w:r>
    </w:p>
    <w:p>
      <w:pPr>
        <w:outlineLvl w:val="2"/>
        <w:rPr>
          <w:rFonts w:hint="eastAsia" w:ascii="Arial" w:hAnsi="Arial" w:eastAsia="黑体" w:cs="Arial"/>
          <w:szCs w:val="20"/>
        </w:rPr>
      </w:pPr>
    </w:p>
    <w:p>
      <w:pPr>
        <w:outlineLvl w:val="2"/>
        <w:rPr>
          <w:rFonts w:hint="eastAsia"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rFonts w:hint="eastAsia"/>
          <w:szCs w:val="21"/>
        </w:rPr>
      </w:pPr>
    </w:p>
    <w:p>
      <w:pPr>
        <w:ind w:firstLine="420" w:firstLineChars="200"/>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32385</wp:posOffset>
            </wp:positionV>
            <wp:extent cx="5713730" cy="2800985"/>
            <wp:effectExtent l="0" t="0" r="127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rFonts w:hint="eastAsia"/>
          <w:szCs w:val="21"/>
        </w:rPr>
      </w:pPr>
      <w:r>
        <w:rPr>
          <w:rFonts w:hint="eastAsia"/>
          <w:szCs w:val="21"/>
        </w:rPr>
        <w:t>本月份循环水pH合格，全月均控制在指标7～9的范围。</w:t>
      </w:r>
    </w:p>
    <w:p>
      <w:pPr>
        <w:jc w:val="both"/>
        <w:rPr>
          <w:rFonts w:hint="eastAsia"/>
          <w:szCs w:val="21"/>
        </w:rPr>
      </w:pPr>
    </w:p>
    <w:p>
      <w:pPr>
        <w:jc w:val="both"/>
        <w:rPr>
          <w:rFonts w:hint="eastAsia"/>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黑体" w:hAnsi="黑体" w:eastAsia="黑体" w:cs="黑体"/>
          <w:szCs w:val="21"/>
        </w:rPr>
        <w:t>图5-4  1循环水场循环水氯离子趋势图</w:t>
      </w:r>
    </w:p>
    <w:p>
      <w:pPr>
        <w:jc w:val="left"/>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图5-5  1循环水场循环水浊度趋势图</w:t>
      </w:r>
    </w:p>
    <w:p>
      <w:pPr>
        <w:jc w:val="left"/>
        <w:rPr>
          <w:szCs w:val="21"/>
        </w:rPr>
      </w:pPr>
      <w:r>
        <w:rPr>
          <w:rFonts w:hint="eastAsia"/>
        </w:rPr>
        <w:t>本</w:t>
      </w:r>
      <w:r>
        <w:rPr>
          <w:rFonts w:hint="eastAsia"/>
          <w:szCs w:val="21"/>
        </w:rPr>
        <w:t>月循环水场浊度控制正常，全月均控制在指标范围10NTU以下。</w:t>
      </w: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图5-6 1循环水场循环水总铁趋势图</w:t>
      </w:r>
    </w:p>
    <w:p>
      <w:pPr>
        <w:jc w:val="left"/>
        <w:rPr>
          <w:szCs w:val="21"/>
        </w:rPr>
      </w:pPr>
      <w:r>
        <w:rPr>
          <w:rFonts w:hint="eastAsia"/>
          <w:szCs w:val="21"/>
        </w:rPr>
        <w:t>本月份循环水场总铁控制正常，全月均控制在指标范围1mg/L以下。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212090</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图5-7 1循环水场循环水余氯趋势图</w:t>
      </w:r>
    </w:p>
    <w:p>
      <w:pPr>
        <w:jc w:val="left"/>
        <w:rPr>
          <w:szCs w:val="21"/>
        </w:rPr>
      </w:pPr>
      <w:r>
        <w:rPr>
          <w:rFonts w:hint="eastAsia"/>
          <w:szCs w:val="21"/>
        </w:rPr>
        <w:t>本月份循环水余氯控制指标正常，全月均控制在指标范围0.2～0.8mg/L以内</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rFonts w:hint="eastAsia"/>
          <w:szCs w:val="21"/>
        </w:rPr>
      </w:pPr>
    </w:p>
    <w:p>
      <w:pPr>
        <w:rPr>
          <w:szCs w:val="21"/>
        </w:rPr>
      </w:pPr>
      <w:r>
        <w:rPr>
          <w:rFonts w:hint="eastAsia"/>
          <w:szCs w:val="21"/>
        </w:rPr>
        <w:t>(1)含油回用水水质指标如下图所示：</w:t>
      </w:r>
    </w:p>
    <w:p>
      <w:pPr>
        <w:pStyle w:val="57"/>
        <w:spacing w:line="360" w:lineRule="exact"/>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jc w:val="left"/>
        <w:rPr>
          <w:rFonts w:ascii="黑体" w:hAnsi="黑体" w:eastAsia="黑体" w:cs="黑体"/>
          <w:szCs w:val="21"/>
        </w:rPr>
      </w:pPr>
      <w:r>
        <w:rPr>
          <w:rFonts w:hint="eastAsia"/>
          <w:szCs w:val="21"/>
        </w:rPr>
        <w:t>本月含油污水回用水pH控制正常，全月皆在指标6～9范围内。</w:t>
      </w:r>
    </w:p>
    <w:p>
      <w:pPr>
        <w:jc w:val="left"/>
        <w:rPr>
          <w:rFonts w:hint="eastAsia"/>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jc w:val="left"/>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4624"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jc w:val="left"/>
        <w:rPr>
          <w:rFonts w:hint="default" w:eastAsia="宋体"/>
          <w:szCs w:val="21"/>
          <w:lang w:val="en-US" w:eastAsia="zh-CN"/>
        </w:rPr>
      </w:pPr>
      <w:r>
        <w:rPr>
          <w:rFonts w:hint="eastAsia"/>
          <w:szCs w:val="21"/>
        </w:rPr>
        <w:t>本月含油污水回用水氨氮控制正常，全月皆在小于10mg/L的范围内。</w:t>
      </w: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5648" behindDoc="0" locked="0" layoutInCell="1" allowOverlap="1">
            <wp:simplePos x="0" y="0"/>
            <wp:positionH relativeFrom="column">
              <wp:align>center</wp:align>
            </wp:positionH>
            <wp:positionV relativeFrom="paragraph">
              <wp:posOffset>176530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jc w:val="left"/>
        <w:rPr>
          <w:szCs w:val="21"/>
        </w:rPr>
      </w:pPr>
      <w:r>
        <w:rPr>
          <w:rFonts w:hint="eastAsia"/>
          <w:szCs w:val="21"/>
        </w:rPr>
        <w:t>本月含盐污水外排pH控制指标正常，全月控制在指标范围6～9以内。</w:t>
      </w:r>
    </w:p>
    <w:p>
      <w:pPr>
        <w:rPr>
          <w:szCs w:val="21"/>
        </w:rPr>
      </w:pPr>
    </w:p>
    <w:p>
      <w:pPr>
        <w:rPr>
          <w:rFonts w:ascii="黑体" w:hAnsi="黑体" w:eastAsia="黑体" w:cs="黑体"/>
          <w:szCs w:val="21"/>
        </w:rPr>
      </w:pPr>
    </w:p>
    <w:p>
      <w:pPr>
        <w:rPr>
          <w:rFonts w:ascii="黑体" w:hAnsi="黑体" w:eastAsia="黑体" w:cs="黑体"/>
          <w:szCs w:val="21"/>
        </w:rPr>
      </w:pPr>
    </w:p>
    <w:p>
      <w:pPr>
        <w:jc w:val="center"/>
        <w:rPr>
          <w:rFonts w:hint="eastAsia"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jc w:val="left"/>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jc w:val="left"/>
        <w:rPr>
          <w:rFonts w:hint="eastAsia" w:ascii="Arial" w:hAnsi="Arial" w:cs="Arial"/>
          <w:bCs w:val="0"/>
          <w:szCs w:val="20"/>
        </w:rPr>
      </w:pPr>
      <w:r>
        <w:rPr>
          <w:rFonts w:hint="eastAsia"/>
          <w:szCs w:val="21"/>
        </w:rPr>
        <w:t>本月含盐污水外排氨氮控制指标正常，全月均控制在指标范围20mg/L以内。</w:t>
      </w:r>
      <w:bookmarkStart w:id="55" w:name="_Toc1878"/>
      <w:bookmarkStart w:id="56" w:name="_Toc13213"/>
    </w:p>
    <w:p>
      <w:pPr>
        <w:rPr>
          <w:rFonts w:hint="eastAsia"/>
        </w:rPr>
      </w:pPr>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 xml:space="preserve">表5-1 </w:t>
      </w:r>
      <w:r>
        <w:rPr>
          <w:rFonts w:hint="eastAsia" w:ascii="黑体" w:hAnsi="黑体" w:eastAsia="黑体" w:cs="黑体"/>
          <w:szCs w:val="21"/>
          <w:lang w:val="en-US" w:eastAsia="zh-CN"/>
        </w:rPr>
        <w:t>5月</w:t>
      </w:r>
      <w:r>
        <w:rPr>
          <w:rFonts w:hint="eastAsia" w:ascii="黑体" w:hAnsi="黑体" w:eastAsia="黑体" w:cs="黑体"/>
          <w:szCs w:val="21"/>
        </w:rPr>
        <w:t>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spacing w:line="440" w:lineRule="exact"/>
              <w:jc w:val="center"/>
              <w:rPr>
                <w:rFonts w:ascii="Arial" w:hAnsi="Arial" w:cs="Arial"/>
                <w:szCs w:val="21"/>
              </w:rPr>
            </w:pPr>
            <w:r>
              <w:rPr>
                <w:rFonts w:ascii="Arial" w:hAnsi="Arial" w:cs="Arial"/>
                <w:szCs w:val="21"/>
              </w:rPr>
              <w:t>序  号</w:t>
            </w:r>
          </w:p>
        </w:tc>
        <w:tc>
          <w:tcPr>
            <w:tcW w:w="1842" w:type="dxa"/>
            <w:vAlign w:val="center"/>
          </w:tcPr>
          <w:p>
            <w:pPr>
              <w:spacing w:line="440" w:lineRule="exact"/>
              <w:jc w:val="center"/>
              <w:rPr>
                <w:rFonts w:ascii="Arial" w:hAnsi="Arial" w:cs="Arial"/>
                <w:szCs w:val="21"/>
              </w:rPr>
            </w:pPr>
            <w:r>
              <w:rPr>
                <w:rFonts w:ascii="Arial" w:hAnsi="Arial" w:cs="Arial"/>
                <w:szCs w:val="21"/>
              </w:rPr>
              <w:t>装置名称</w:t>
            </w:r>
          </w:p>
        </w:tc>
        <w:tc>
          <w:tcPr>
            <w:tcW w:w="3942" w:type="dxa"/>
            <w:vAlign w:val="center"/>
          </w:tcPr>
          <w:p>
            <w:pPr>
              <w:spacing w:line="440" w:lineRule="exact"/>
              <w:jc w:val="center"/>
              <w:rPr>
                <w:rFonts w:ascii="Arial" w:hAnsi="Arial" w:cs="Arial"/>
                <w:szCs w:val="21"/>
              </w:rPr>
            </w:pPr>
            <w:r>
              <w:rPr>
                <w:rFonts w:ascii="Arial" w:hAnsi="Arial" w:cs="Arial"/>
                <w:szCs w:val="21"/>
              </w:rPr>
              <w:t>合格率</w:t>
            </w:r>
          </w:p>
        </w:tc>
        <w:tc>
          <w:tcPr>
            <w:tcW w:w="1895" w:type="dxa"/>
            <w:vAlign w:val="center"/>
          </w:tcPr>
          <w:p>
            <w:pPr>
              <w:spacing w:line="440" w:lineRule="exact"/>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1</w:t>
            </w:r>
          </w:p>
        </w:tc>
        <w:tc>
          <w:tcPr>
            <w:tcW w:w="1842" w:type="dxa"/>
            <w:vAlign w:val="center"/>
          </w:tcPr>
          <w:p>
            <w:pPr>
              <w:spacing w:line="440" w:lineRule="exact"/>
              <w:jc w:val="center"/>
              <w:rPr>
                <w:rFonts w:ascii="Arial" w:hAnsi="Arial" w:cs="Arial"/>
                <w:szCs w:val="21"/>
              </w:rPr>
            </w:pPr>
            <w:r>
              <w:rPr>
                <w:rFonts w:ascii="Arial" w:hAnsi="Arial" w:cs="Arial"/>
                <w:szCs w:val="21"/>
              </w:rPr>
              <w:t>湖水利用</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2</w:t>
            </w:r>
          </w:p>
        </w:tc>
        <w:tc>
          <w:tcPr>
            <w:tcW w:w="1842" w:type="dxa"/>
            <w:vAlign w:val="center"/>
          </w:tcPr>
          <w:p>
            <w:pPr>
              <w:spacing w:line="440" w:lineRule="exact"/>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3</w:t>
            </w:r>
          </w:p>
        </w:tc>
        <w:tc>
          <w:tcPr>
            <w:tcW w:w="1842" w:type="dxa"/>
            <w:vAlign w:val="center"/>
          </w:tcPr>
          <w:p>
            <w:pPr>
              <w:spacing w:line="440" w:lineRule="exact"/>
              <w:jc w:val="center"/>
              <w:rPr>
                <w:rFonts w:ascii="Arial" w:hAnsi="Arial" w:cs="Arial"/>
                <w:szCs w:val="21"/>
              </w:rPr>
            </w:pPr>
            <w:r>
              <w:rPr>
                <w:rFonts w:ascii="Arial" w:hAnsi="Arial" w:cs="Arial"/>
                <w:szCs w:val="21"/>
              </w:rPr>
              <w:t>污水处理场</w:t>
            </w:r>
          </w:p>
        </w:tc>
        <w:tc>
          <w:tcPr>
            <w:tcW w:w="3942" w:type="dxa"/>
            <w:vAlign w:val="center"/>
          </w:tcPr>
          <w:p>
            <w:pPr>
              <w:spacing w:line="440" w:lineRule="exact"/>
              <w:jc w:val="center"/>
              <w:rPr>
                <w:rFonts w:ascii="Arial" w:hAnsi="Arial" w:cs="Arial"/>
                <w:szCs w:val="21"/>
              </w:rPr>
            </w:pPr>
            <w:r>
              <w:rPr>
                <w:rFonts w:ascii="Arial" w:hAnsi="Arial" w:cs="Arial"/>
                <w:szCs w:val="21"/>
              </w:rPr>
              <w:t>含油污水：</w:t>
            </w:r>
          </w:p>
          <w:p>
            <w:pPr>
              <w:spacing w:line="440" w:lineRule="exact"/>
              <w:ind w:left="168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spacing w:line="440" w:lineRule="exact"/>
              <w:jc w:val="center"/>
              <w:rPr>
                <w:rFonts w:ascii="Arial" w:hAnsi="Arial" w:cs="Arial"/>
                <w:szCs w:val="21"/>
              </w:rPr>
            </w:pPr>
            <w:r>
              <w:rPr>
                <w:rFonts w:ascii="Arial" w:hAnsi="Arial" w:cs="Arial"/>
                <w:szCs w:val="21"/>
              </w:rPr>
              <w:t>氨氮合格率100%</w:t>
            </w:r>
          </w:p>
          <w:p>
            <w:pPr>
              <w:spacing w:line="440" w:lineRule="exact"/>
              <w:jc w:val="center"/>
              <w:rPr>
                <w:rFonts w:ascii="Arial" w:hAnsi="Arial" w:cs="Arial"/>
                <w:szCs w:val="21"/>
              </w:rPr>
            </w:pPr>
            <w:r>
              <w:rPr>
                <w:rFonts w:ascii="Arial" w:hAnsi="Arial" w:cs="Arial"/>
                <w:szCs w:val="21"/>
              </w:rPr>
              <w:t>含盐污水：</w:t>
            </w:r>
          </w:p>
          <w:p>
            <w:pPr>
              <w:spacing w:line="440" w:lineRule="exact"/>
              <w:jc w:val="center"/>
              <w:rPr>
                <w:rFonts w:ascii="Arial" w:hAnsi="Arial" w:cs="Arial"/>
                <w:szCs w:val="21"/>
              </w:rPr>
            </w:pPr>
            <w:r>
              <w:rPr>
                <w:rFonts w:ascii="Arial" w:hAnsi="Arial" w:cs="Arial"/>
                <w:szCs w:val="21"/>
              </w:rPr>
              <w:t>COD合格率为100%</w:t>
            </w:r>
          </w:p>
          <w:p>
            <w:pPr>
              <w:spacing w:line="440" w:lineRule="exact"/>
              <w:jc w:val="center"/>
              <w:rPr>
                <w:rFonts w:ascii="Arial" w:hAnsi="Arial" w:cs="Arial"/>
                <w:szCs w:val="21"/>
              </w:rPr>
            </w:pPr>
            <w:r>
              <w:rPr>
                <w:rFonts w:ascii="Arial" w:hAnsi="Arial" w:cs="Arial"/>
                <w:szCs w:val="21"/>
              </w:rPr>
              <w:t>氨氮合格率为100%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14495"/>
      <w:bookmarkStart w:id="59" w:name="_Toc21248"/>
    </w:p>
    <w:p>
      <w:pPr>
        <w:rPr>
          <w:rFonts w:hint="eastAsia"/>
        </w:rPr>
      </w:pPr>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hint="eastAsia" w:ascii="Arial" w:hAnsi="Arial" w:cs="Arial"/>
          <w:bCs w:val="0"/>
          <w:szCs w:val="20"/>
        </w:rPr>
      </w:pPr>
      <w:bookmarkStart w:id="60" w:name="_Toc19393"/>
      <w:bookmarkStart w:id="61" w:name="_Toc15673"/>
    </w:p>
    <w:p>
      <w:pPr>
        <w:pStyle w:val="3"/>
        <w:spacing w:line="360" w:lineRule="exact"/>
        <w:rPr>
          <w:rFonts w:ascii="黑体" w:hAnsi="黑体" w:cs="黑体"/>
          <w:szCs w:val="21"/>
        </w:rPr>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0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289"/>
        <w:gridCol w:w="1155"/>
        <w:gridCol w:w="891"/>
        <w:gridCol w:w="945"/>
        <w:gridCol w:w="840"/>
        <w:gridCol w:w="855"/>
        <w:gridCol w:w="690"/>
        <w:gridCol w:w="61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184" w:type="dxa"/>
            <w:shd w:val="clear" w:color="auto" w:fill="auto"/>
            <w:vAlign w:val="center"/>
          </w:tcPr>
          <w:p>
            <w:pPr>
              <w:spacing w:line="440" w:lineRule="exact"/>
              <w:jc w:val="center"/>
              <w:rPr>
                <w:rFonts w:ascii="Arial" w:hAnsi="Arial" w:cs="Arial"/>
                <w:szCs w:val="21"/>
              </w:rPr>
            </w:pPr>
            <w:r>
              <w:rPr>
                <w:rFonts w:ascii="Arial" w:hAnsi="Arial" w:cs="Arial"/>
                <w:szCs w:val="21"/>
              </w:rPr>
              <w:t>名称</w:t>
            </w:r>
          </w:p>
        </w:tc>
        <w:tc>
          <w:tcPr>
            <w:tcW w:w="1289" w:type="dxa"/>
            <w:shd w:val="clear" w:color="auto" w:fill="auto"/>
            <w:vAlign w:val="center"/>
          </w:tcPr>
          <w:p>
            <w:pPr>
              <w:spacing w:line="440" w:lineRule="exact"/>
              <w:jc w:val="center"/>
              <w:rPr>
                <w:rFonts w:ascii="Arial" w:hAnsi="Arial" w:cs="Arial"/>
                <w:szCs w:val="21"/>
              </w:rPr>
            </w:pPr>
            <w:r>
              <w:rPr>
                <w:rFonts w:ascii="Arial" w:hAnsi="Arial" w:cs="Arial"/>
                <w:szCs w:val="21"/>
              </w:rPr>
              <w:t>位号</w:t>
            </w:r>
          </w:p>
        </w:tc>
        <w:tc>
          <w:tcPr>
            <w:tcW w:w="1155" w:type="dxa"/>
            <w:vAlign w:val="center"/>
          </w:tcPr>
          <w:p>
            <w:pPr>
              <w:spacing w:line="440" w:lineRule="exact"/>
              <w:jc w:val="center"/>
              <w:rPr>
                <w:rFonts w:ascii="Arial" w:hAnsi="Arial" w:cs="Arial"/>
                <w:szCs w:val="21"/>
              </w:rPr>
            </w:pPr>
            <w:r>
              <w:rPr>
                <w:rFonts w:ascii="Arial" w:hAnsi="Arial" w:cs="Arial"/>
                <w:szCs w:val="21"/>
              </w:rPr>
              <w:t>指标范围</w:t>
            </w:r>
          </w:p>
        </w:tc>
        <w:tc>
          <w:tcPr>
            <w:tcW w:w="891" w:type="dxa"/>
            <w:shd w:val="clear" w:color="auto" w:fill="auto"/>
            <w:vAlign w:val="center"/>
          </w:tcPr>
          <w:p>
            <w:pPr>
              <w:spacing w:line="440" w:lineRule="exact"/>
              <w:jc w:val="center"/>
              <w:rPr>
                <w:rFonts w:ascii="Arial" w:hAnsi="Arial" w:cs="Arial"/>
                <w:szCs w:val="21"/>
              </w:rPr>
            </w:pPr>
            <w:r>
              <w:rPr>
                <w:rFonts w:ascii="Arial" w:hAnsi="Arial" w:cs="Arial"/>
                <w:szCs w:val="21"/>
              </w:rPr>
              <w:t>单位</w:t>
            </w:r>
          </w:p>
        </w:tc>
        <w:tc>
          <w:tcPr>
            <w:tcW w:w="945" w:type="dxa"/>
            <w:shd w:val="clear" w:color="auto" w:fill="auto"/>
            <w:vAlign w:val="center"/>
          </w:tcPr>
          <w:p>
            <w:pPr>
              <w:spacing w:line="440" w:lineRule="exact"/>
              <w:jc w:val="center"/>
              <w:rPr>
                <w:rFonts w:ascii="Arial" w:hAnsi="Arial" w:cs="Arial"/>
                <w:szCs w:val="21"/>
              </w:rPr>
            </w:pPr>
            <w:r>
              <w:rPr>
                <w:rFonts w:ascii="Arial" w:hAnsi="Arial" w:cs="Arial"/>
                <w:szCs w:val="21"/>
              </w:rPr>
              <w:t>最大值</w:t>
            </w:r>
          </w:p>
        </w:tc>
        <w:tc>
          <w:tcPr>
            <w:tcW w:w="840" w:type="dxa"/>
            <w:shd w:val="clear" w:color="auto" w:fill="auto"/>
            <w:vAlign w:val="center"/>
          </w:tcPr>
          <w:p>
            <w:pPr>
              <w:spacing w:line="440" w:lineRule="exact"/>
              <w:jc w:val="center"/>
              <w:rPr>
                <w:rFonts w:ascii="Arial" w:hAnsi="Arial" w:cs="Arial"/>
                <w:szCs w:val="21"/>
              </w:rPr>
            </w:pPr>
            <w:r>
              <w:rPr>
                <w:rFonts w:ascii="Arial" w:hAnsi="Arial" w:cs="Arial"/>
                <w:szCs w:val="21"/>
              </w:rPr>
              <w:t>最小值</w:t>
            </w:r>
          </w:p>
        </w:tc>
        <w:tc>
          <w:tcPr>
            <w:tcW w:w="855" w:type="dxa"/>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c>
          <w:tcPr>
            <w:tcW w:w="690" w:type="dxa"/>
            <w:shd w:val="clear" w:color="auto" w:fill="auto"/>
            <w:vAlign w:val="center"/>
          </w:tcPr>
          <w:p>
            <w:pPr>
              <w:spacing w:line="440" w:lineRule="exact"/>
              <w:jc w:val="center"/>
              <w:rPr>
                <w:rFonts w:ascii="Arial" w:hAnsi="Arial" w:cs="Arial"/>
                <w:szCs w:val="21"/>
              </w:rPr>
            </w:pPr>
            <w:r>
              <w:rPr>
                <w:rFonts w:ascii="Arial" w:hAnsi="Arial" w:cs="Arial"/>
                <w:szCs w:val="21"/>
              </w:rPr>
              <w:t>总数</w:t>
            </w:r>
          </w:p>
        </w:tc>
        <w:tc>
          <w:tcPr>
            <w:tcW w:w="614" w:type="dxa"/>
            <w:shd w:val="clear" w:color="auto" w:fill="auto"/>
            <w:vAlign w:val="center"/>
          </w:tcPr>
          <w:p>
            <w:pPr>
              <w:spacing w:line="440" w:lineRule="exact"/>
              <w:jc w:val="center"/>
              <w:rPr>
                <w:rFonts w:ascii="Arial" w:hAnsi="Arial" w:cs="Arial"/>
                <w:szCs w:val="21"/>
              </w:rPr>
            </w:pPr>
            <w:r>
              <w:rPr>
                <w:rFonts w:ascii="Arial" w:hAnsi="Arial" w:cs="Arial"/>
                <w:szCs w:val="21"/>
              </w:rPr>
              <w:t>不合格</w:t>
            </w:r>
          </w:p>
        </w:tc>
        <w:tc>
          <w:tcPr>
            <w:tcW w:w="1160" w:type="dxa"/>
            <w:shd w:val="clear" w:color="auto" w:fill="auto"/>
            <w:vAlign w:val="center"/>
          </w:tcPr>
          <w:p>
            <w:pPr>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一循给水温度</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TI-10202</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≦33</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945" w:type="dxa"/>
            <w:shd w:val="clear" w:color="auto" w:fill="auto"/>
            <w:noWrap/>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33.</w:t>
            </w:r>
            <w:r>
              <w:rPr>
                <w:rFonts w:hint="eastAsia" w:ascii="Arial" w:hAnsi="Arial" w:cs="Arial"/>
                <w:color w:val="000000" w:themeColor="text1"/>
                <w:sz w:val="21"/>
                <w:szCs w:val="21"/>
                <w:lang w:val="en-US" w:eastAsia="zh-CN"/>
                <w14:textFill>
                  <w14:solidFill>
                    <w14:schemeClr w14:val="tx1"/>
                  </w14:solidFill>
                </w14:textFill>
              </w:rPr>
              <w:t>43</w:t>
            </w:r>
          </w:p>
        </w:tc>
        <w:tc>
          <w:tcPr>
            <w:tcW w:w="840" w:type="dxa"/>
            <w:shd w:val="clear" w:color="auto" w:fill="auto"/>
            <w:noWrap/>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lang w:val="en-US" w:eastAsia="zh-CN"/>
                <w14:textFill>
                  <w14:solidFill>
                    <w14:schemeClr w14:val="tx1"/>
                  </w14:solidFill>
                </w14:textFill>
              </w:rPr>
              <w:t>30.12</w:t>
            </w:r>
          </w:p>
        </w:tc>
        <w:tc>
          <w:tcPr>
            <w:tcW w:w="855" w:type="dxa"/>
            <w:shd w:val="clear" w:color="auto" w:fill="auto"/>
            <w:noWrap/>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31.</w:t>
            </w:r>
            <w:r>
              <w:rPr>
                <w:rFonts w:hint="eastAsia" w:ascii="Arial" w:hAnsi="Arial" w:cs="Arial"/>
                <w:color w:val="000000" w:themeColor="text1"/>
                <w:sz w:val="21"/>
                <w:szCs w:val="21"/>
                <w:lang w:val="en-US" w:eastAsia="zh-CN"/>
                <w14:textFill>
                  <w14:solidFill>
                    <w14:schemeClr w14:val="tx1"/>
                  </w14:solidFill>
                </w14:textFill>
              </w:rPr>
              <w:t>23</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lang w:val="en-US" w:eastAsia="zh-CN"/>
                <w14:textFill>
                  <w14:solidFill>
                    <w14:schemeClr w14:val="tx1"/>
                  </w14:solidFill>
                </w14:textFill>
              </w:rPr>
              <w:t>7</w:t>
            </w:r>
          </w:p>
        </w:tc>
        <w:tc>
          <w:tcPr>
            <w:tcW w:w="1160" w:type="dxa"/>
            <w:shd w:val="clear" w:color="auto" w:fill="auto"/>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9</w:t>
            </w:r>
            <w:r>
              <w:rPr>
                <w:rFonts w:hint="eastAsia" w:ascii="Arial" w:hAnsi="Arial" w:cs="Arial"/>
                <w:color w:val="000000" w:themeColor="text1"/>
                <w:sz w:val="21"/>
                <w:szCs w:val="21"/>
                <w:lang w:val="en-US" w:eastAsia="zh-CN"/>
                <w14:textFill>
                  <w14:solidFill>
                    <w14:schemeClr w14:val="tx1"/>
                  </w14:solidFill>
                </w14:textFill>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一循给水压力</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PI-10202</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0.4～0.5</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0.4</w:t>
            </w:r>
            <w:r>
              <w:rPr>
                <w:rFonts w:hint="eastAsia" w:ascii="Arial" w:hAnsi="Arial" w:cs="Arial"/>
                <w:color w:val="000000" w:themeColor="text1"/>
                <w:sz w:val="21"/>
                <w:szCs w:val="21"/>
                <w:lang w:val="en-US" w:eastAsia="zh-CN"/>
                <w14:textFill>
                  <w14:solidFill>
                    <w14:schemeClr w14:val="tx1"/>
                  </w14:solidFill>
                </w14:textFill>
              </w:rPr>
              <w:t>4</w:t>
            </w:r>
            <w:r>
              <w:rPr>
                <w:rFonts w:ascii="Arial" w:hAnsi="Arial" w:cs="Arial"/>
                <w:color w:val="000000" w:themeColor="text1"/>
                <w:sz w:val="2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0.43 </w:t>
            </w:r>
          </w:p>
        </w:tc>
        <w:tc>
          <w:tcPr>
            <w:tcW w:w="855" w:type="dxa"/>
            <w:shd w:val="clear" w:color="auto" w:fill="auto"/>
            <w:noWrap/>
            <w:vAlign w:val="center"/>
          </w:tcPr>
          <w:p>
            <w:pPr>
              <w:spacing w:line="440" w:lineRule="exact"/>
              <w:jc w:val="center"/>
              <w:rPr>
                <w:rFonts w:hint="eastAsia"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0.4</w:t>
            </w:r>
            <w:r>
              <w:rPr>
                <w:rFonts w:hint="eastAsia" w:ascii="Arial" w:hAnsi="Arial" w:cs="Arial"/>
                <w:color w:val="000000" w:themeColor="text1"/>
                <w:sz w:val="21"/>
                <w:szCs w:val="21"/>
                <w:lang w:val="en-US" w:eastAsia="zh-CN"/>
                <w14:textFill>
                  <w14:solidFill>
                    <w14:schemeClr w14:val="tx1"/>
                  </w14:solidFill>
                </w14:textFill>
              </w:rPr>
              <w:t>3</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8</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一循给水流量</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FI-10203</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≧27000</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m</w:t>
            </w:r>
            <w:r>
              <w:rPr>
                <w:rFonts w:ascii="Arial" w:hAnsi="Arial" w:cs="Arial"/>
                <w:color w:val="000000" w:themeColor="text1"/>
                <w:sz w:val="21"/>
                <w:szCs w:val="21"/>
                <w:vertAlign w:val="superscript"/>
                <w14:textFill>
                  <w14:solidFill>
                    <w14:schemeClr w14:val="tx1"/>
                  </w14:solidFill>
                </w14:textFill>
              </w:rPr>
              <w:t>3</w:t>
            </w:r>
            <w:r>
              <w:rPr>
                <w:rFonts w:ascii="Arial" w:hAnsi="Arial" w:cs="Arial"/>
                <w:color w:val="000000" w:themeColor="text1"/>
                <w:sz w:val="21"/>
                <w:szCs w:val="21"/>
                <w14:textFill>
                  <w14:solidFill>
                    <w14:schemeClr w14:val="tx1"/>
                  </w14:solidFill>
                </w14:textFill>
              </w:rPr>
              <w:t>/h</w:t>
            </w:r>
          </w:p>
        </w:tc>
        <w:tc>
          <w:tcPr>
            <w:tcW w:w="94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3503</w:t>
            </w:r>
            <w:r>
              <w:rPr>
                <w:rFonts w:hint="eastAsia" w:ascii="Arial" w:hAnsi="Arial" w:cs="Arial"/>
                <w:color w:val="000000" w:themeColor="text1"/>
                <w:sz w:val="21"/>
                <w:szCs w:val="21"/>
                <w:lang w:val="en-US" w:eastAsia="zh-CN"/>
                <w14:textFill>
                  <w14:solidFill>
                    <w14:schemeClr w14:val="tx1"/>
                  </w14:solidFill>
                </w14:textFill>
              </w:rPr>
              <w:t>7</w:t>
            </w:r>
            <w:r>
              <w:rPr>
                <w:rFonts w:ascii="Arial" w:hAnsi="Arial" w:cs="Arial"/>
                <w:color w:val="000000" w:themeColor="text1"/>
                <w:sz w:val="2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lang w:val="en-US" w:eastAsia="zh-CN"/>
                <w14:textFill>
                  <w14:solidFill>
                    <w14:schemeClr w14:val="tx1"/>
                  </w14:solidFill>
                </w14:textFill>
              </w:rPr>
              <w:t>14615</w:t>
            </w:r>
            <w:r>
              <w:rPr>
                <w:rFonts w:ascii="Arial" w:hAnsi="Arial" w:cs="Arial"/>
                <w:color w:val="000000" w:themeColor="text1"/>
                <w:sz w:val="21"/>
                <w:szCs w:val="21"/>
                <w14:textFill>
                  <w14:solidFill>
                    <w14:schemeClr w14:val="tx1"/>
                  </w14:solidFill>
                </w14:textFill>
              </w:rPr>
              <w:t xml:space="preserve"> </w:t>
            </w:r>
          </w:p>
        </w:tc>
        <w:tc>
          <w:tcPr>
            <w:tcW w:w="85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w:t>
            </w:r>
            <w:r>
              <w:rPr>
                <w:rFonts w:hint="eastAsia" w:ascii="Arial" w:hAnsi="Arial" w:cs="Arial"/>
                <w:color w:val="000000" w:themeColor="text1"/>
                <w:sz w:val="21"/>
                <w:szCs w:val="21"/>
                <w:lang w:val="en-US" w:eastAsia="zh-CN"/>
                <w14:textFill>
                  <w14:solidFill>
                    <w14:schemeClr w14:val="tx1"/>
                  </w14:solidFill>
                </w14:textFill>
              </w:rPr>
              <w:t>3185</w:t>
            </w:r>
            <w:r>
              <w:rPr>
                <w:rFonts w:ascii="Arial" w:hAnsi="Arial" w:cs="Arial"/>
                <w:color w:val="000000" w:themeColor="text1"/>
                <w:sz w:val="21"/>
                <w:szCs w:val="21"/>
                <w14:textFill>
                  <w14:solidFill>
                    <w14:schemeClr w14:val="tx1"/>
                  </w14:solidFill>
                </w14:textFill>
              </w:rPr>
              <w:t xml:space="preserve"> </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热水站热水压力</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PI-10202</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0.6～1.0</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hint="eastAsia"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0.7</w:t>
            </w:r>
            <w:r>
              <w:rPr>
                <w:rFonts w:hint="eastAsia" w:ascii="Arial" w:hAnsi="Arial" w:cs="Arial"/>
                <w:color w:val="000000" w:themeColor="text1"/>
                <w:sz w:val="21"/>
                <w:szCs w:val="21"/>
                <w:lang w:val="en-US" w:eastAsia="zh-CN"/>
                <w14:textFill>
                  <w14:solidFill>
                    <w14:schemeClr w14:val="tx1"/>
                  </w14:solidFill>
                </w14:textFill>
              </w:rPr>
              <w:t>7</w:t>
            </w:r>
          </w:p>
        </w:tc>
        <w:tc>
          <w:tcPr>
            <w:tcW w:w="840"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0.73 </w:t>
            </w:r>
          </w:p>
        </w:tc>
        <w:tc>
          <w:tcPr>
            <w:tcW w:w="85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0.75</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热水站热水温度</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TI-10202</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95～110</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945" w:type="dxa"/>
            <w:shd w:val="clear" w:color="auto" w:fill="auto"/>
            <w:noWrap/>
            <w:vAlign w:val="center"/>
          </w:tcPr>
          <w:p>
            <w:pPr>
              <w:spacing w:line="440" w:lineRule="exact"/>
              <w:jc w:val="center"/>
              <w:rPr>
                <w:rFonts w:hint="default" w:ascii="Arial" w:hAnsi="Arial" w:cs="Arial"/>
                <w:color w:val="000000" w:themeColor="text1"/>
                <w:sz w:val="21"/>
                <w:szCs w:val="21"/>
                <w:lang w:val="en-US"/>
                <w14:textFill>
                  <w14:solidFill>
                    <w14:schemeClr w14:val="tx1"/>
                  </w14:solidFill>
                </w14:textFill>
              </w:rPr>
            </w:pPr>
            <w:r>
              <w:rPr>
                <w:rFonts w:ascii="Arial" w:hAnsi="Arial" w:cs="Arial"/>
                <w:color w:val="000000" w:themeColor="text1"/>
                <w:sz w:val="21"/>
                <w:szCs w:val="21"/>
                <w14:textFill>
                  <w14:solidFill>
                    <w14:schemeClr w14:val="tx1"/>
                  </w14:solidFill>
                </w14:textFill>
              </w:rPr>
              <w:t>10</w:t>
            </w:r>
            <w:r>
              <w:rPr>
                <w:rFonts w:hint="eastAsia" w:ascii="Arial" w:hAnsi="Arial" w:cs="Arial"/>
                <w:color w:val="000000" w:themeColor="text1"/>
                <w:sz w:val="21"/>
                <w:szCs w:val="21"/>
                <w:lang w:val="en-US" w:eastAsia="zh-CN"/>
                <w14:textFill>
                  <w14:solidFill>
                    <w14:schemeClr w14:val="tx1"/>
                  </w14:solidFill>
                </w14:textFill>
              </w:rPr>
              <w:t>8.7</w:t>
            </w:r>
          </w:p>
        </w:tc>
        <w:tc>
          <w:tcPr>
            <w:tcW w:w="840" w:type="dxa"/>
            <w:shd w:val="clear" w:color="auto" w:fill="auto"/>
            <w:noWrap/>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lang w:val="en-US" w:eastAsia="zh-CN"/>
                <w14:textFill>
                  <w14:solidFill>
                    <w14:schemeClr w14:val="tx1"/>
                  </w14:solidFill>
                </w14:textFill>
              </w:rPr>
              <w:t>100</w:t>
            </w:r>
          </w:p>
        </w:tc>
        <w:tc>
          <w:tcPr>
            <w:tcW w:w="85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w:t>
            </w:r>
            <w:r>
              <w:rPr>
                <w:rFonts w:hint="eastAsia" w:ascii="Arial" w:hAnsi="Arial" w:cs="Arial"/>
                <w:color w:val="000000" w:themeColor="text1"/>
                <w:sz w:val="21"/>
                <w:szCs w:val="21"/>
                <w:lang w:val="en-US" w:eastAsia="zh-CN"/>
                <w14:textFill>
                  <w14:solidFill>
                    <w14:schemeClr w14:val="tx1"/>
                  </w14:solidFill>
                </w14:textFill>
              </w:rPr>
              <w:t>6.5</w:t>
            </w:r>
            <w:r>
              <w:rPr>
                <w:rFonts w:ascii="Arial" w:hAnsi="Arial" w:cs="Arial"/>
                <w:color w:val="000000" w:themeColor="text1"/>
                <w:sz w:val="21"/>
                <w:szCs w:val="21"/>
                <w14:textFill>
                  <w14:solidFill>
                    <w14:schemeClr w14:val="tx1"/>
                  </w14:solidFill>
                </w14:textFill>
              </w:rPr>
              <w:t xml:space="preserve"> </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装置区制冷站</w:t>
            </w:r>
          </w:p>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（1#机组）冷水温度</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TI-00104</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7～10</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94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8.</w:t>
            </w:r>
            <w:r>
              <w:rPr>
                <w:rFonts w:hint="eastAsia" w:ascii="Arial" w:hAnsi="Arial" w:cs="Arial"/>
                <w:color w:val="000000" w:themeColor="text1"/>
                <w:sz w:val="21"/>
                <w:szCs w:val="21"/>
                <w:lang w:val="en-US" w:eastAsia="zh-CN"/>
                <w14:textFill>
                  <w14:solidFill>
                    <w14:schemeClr w14:val="tx1"/>
                  </w14:solidFill>
                </w14:textFill>
              </w:rPr>
              <w:t>5</w:t>
            </w:r>
            <w:r>
              <w:rPr>
                <w:rFonts w:ascii="Arial" w:hAnsi="Arial" w:cs="Arial"/>
                <w:color w:val="000000" w:themeColor="text1"/>
                <w:sz w:val="21"/>
                <w:szCs w:val="21"/>
                <w14:textFill>
                  <w14:solidFill>
                    <w14:schemeClr w14:val="tx1"/>
                  </w14:solidFill>
                </w14:textFill>
              </w:rPr>
              <w:t xml:space="preserve"> </w:t>
            </w:r>
          </w:p>
        </w:tc>
        <w:tc>
          <w:tcPr>
            <w:tcW w:w="840" w:type="dxa"/>
            <w:shd w:val="clear" w:color="auto" w:fill="auto"/>
            <w:noWrap/>
            <w:vAlign w:val="center"/>
          </w:tcPr>
          <w:p>
            <w:pPr>
              <w:spacing w:line="440" w:lineRule="exact"/>
              <w:jc w:val="center"/>
              <w:rPr>
                <w:rFonts w:hint="eastAsia"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7.</w:t>
            </w:r>
            <w:r>
              <w:rPr>
                <w:rFonts w:hint="eastAsia" w:ascii="Arial" w:hAnsi="Arial" w:cs="Arial"/>
                <w:color w:val="000000" w:themeColor="text1"/>
                <w:sz w:val="21"/>
                <w:szCs w:val="21"/>
                <w:lang w:val="en-US" w:eastAsia="zh-CN"/>
                <w14:textFill>
                  <w14:solidFill>
                    <w14:schemeClr w14:val="tx1"/>
                  </w14:solidFill>
                </w14:textFill>
              </w:rPr>
              <w:t>5</w:t>
            </w:r>
          </w:p>
        </w:tc>
        <w:tc>
          <w:tcPr>
            <w:tcW w:w="85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7.9 </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装置区制冷站</w:t>
            </w:r>
          </w:p>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（1#机组）冷水压力</w:t>
            </w:r>
          </w:p>
        </w:tc>
        <w:tc>
          <w:tcPr>
            <w:tcW w:w="1289"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PI-00104</w:t>
            </w:r>
          </w:p>
        </w:tc>
        <w:tc>
          <w:tcPr>
            <w:tcW w:w="1155" w:type="dxa"/>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0.6～0.75</w:t>
            </w:r>
          </w:p>
        </w:tc>
        <w:tc>
          <w:tcPr>
            <w:tcW w:w="891"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MPa</w:t>
            </w:r>
          </w:p>
        </w:tc>
        <w:tc>
          <w:tcPr>
            <w:tcW w:w="945" w:type="dxa"/>
            <w:shd w:val="clear" w:color="auto" w:fill="auto"/>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0.68 </w:t>
            </w:r>
          </w:p>
        </w:tc>
        <w:tc>
          <w:tcPr>
            <w:tcW w:w="840" w:type="dxa"/>
            <w:shd w:val="clear" w:color="auto" w:fill="auto"/>
            <w:noWrap/>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r>
              <w:rPr>
                <w:rFonts w:hint="eastAsia" w:ascii="Arial" w:hAnsi="Arial" w:cs="Arial"/>
                <w:color w:val="000000" w:themeColor="text1"/>
                <w:sz w:val="21"/>
                <w:szCs w:val="21"/>
                <w:lang w:val="en-US" w:eastAsia="zh-CN"/>
                <w14:textFill>
                  <w14:solidFill>
                    <w14:schemeClr w14:val="tx1"/>
                  </w14:solidFill>
                </w14:textFill>
              </w:rPr>
              <w:t>57</w:t>
            </w:r>
          </w:p>
        </w:tc>
        <w:tc>
          <w:tcPr>
            <w:tcW w:w="855" w:type="dxa"/>
            <w:shd w:val="clear" w:color="auto" w:fill="auto"/>
            <w:noWrap/>
            <w:vAlign w:val="center"/>
          </w:tcPr>
          <w:p>
            <w:pPr>
              <w:spacing w:line="440" w:lineRule="exact"/>
              <w:jc w:val="center"/>
              <w:rPr>
                <w:rFonts w:hint="eastAsia"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0.6</w:t>
            </w:r>
            <w:r>
              <w:rPr>
                <w:rFonts w:hint="eastAsia" w:ascii="Arial" w:hAnsi="Arial" w:cs="Arial"/>
                <w:color w:val="000000" w:themeColor="text1"/>
                <w:sz w:val="21"/>
                <w:szCs w:val="21"/>
                <w:lang w:val="en-US" w:eastAsia="zh-CN"/>
                <w14:textFill>
                  <w14:solidFill>
                    <w14:schemeClr w14:val="tx1"/>
                  </w14:solidFill>
                </w14:textFill>
              </w:rPr>
              <w:t>2</w:t>
            </w:r>
          </w:p>
        </w:tc>
        <w:tc>
          <w:tcPr>
            <w:tcW w:w="690" w:type="dxa"/>
            <w:shd w:val="clear" w:color="auto" w:fill="auto"/>
            <w:vAlign w:val="center"/>
          </w:tcPr>
          <w:p>
            <w:pPr>
              <w:spacing w:line="440" w:lineRule="exact"/>
              <w:jc w:val="center"/>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主厂区生产给水压力</w:t>
            </w:r>
          </w:p>
        </w:tc>
        <w:tc>
          <w:tcPr>
            <w:tcW w:w="1289"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PI-00201</w:t>
            </w:r>
          </w:p>
        </w:tc>
        <w:tc>
          <w:tcPr>
            <w:tcW w:w="1155" w:type="dxa"/>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0.5～0.6</w:t>
            </w:r>
          </w:p>
        </w:tc>
        <w:tc>
          <w:tcPr>
            <w:tcW w:w="891"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MPa</w:t>
            </w:r>
          </w:p>
        </w:tc>
        <w:tc>
          <w:tcPr>
            <w:tcW w:w="945" w:type="dxa"/>
            <w:shd w:val="clear" w:color="auto" w:fill="auto"/>
            <w:noWrap/>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14:textFill>
                  <w14:solidFill>
                    <w14:schemeClr w14:val="tx1"/>
                  </w14:solidFill>
                </w14:textFill>
              </w:rPr>
              <w:t>0.5</w:t>
            </w:r>
            <w:r>
              <w:rPr>
                <w:rFonts w:hint="eastAsia" w:ascii="Arial" w:hAnsi="Arial" w:cs="Arial"/>
                <w:color w:val="000000" w:themeColor="text1"/>
                <w:sz w:val="21"/>
                <w:szCs w:val="21"/>
                <w:lang w:val="en-US" w:eastAsia="zh-CN"/>
                <w14:textFill>
                  <w14:solidFill>
                    <w14:schemeClr w14:val="tx1"/>
                  </w14:solidFill>
                </w14:textFill>
              </w:rPr>
              <w:t>7</w:t>
            </w:r>
          </w:p>
        </w:tc>
        <w:tc>
          <w:tcPr>
            <w:tcW w:w="840" w:type="dxa"/>
            <w:shd w:val="clear" w:color="auto" w:fill="auto"/>
            <w:noWrap/>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w:t>
            </w:r>
            <w:r>
              <w:rPr>
                <w:rFonts w:hint="eastAsia" w:ascii="Arial" w:hAnsi="Arial" w:cs="Arial"/>
                <w:color w:val="000000" w:themeColor="text1"/>
                <w:sz w:val="21"/>
                <w:szCs w:val="21"/>
                <w:lang w:val="en-US" w:eastAsia="zh-CN"/>
                <w14:textFill>
                  <w14:solidFill>
                    <w14:schemeClr w14:val="tx1"/>
                  </w14:solidFill>
                </w14:textFill>
              </w:rPr>
              <w:t>44</w:t>
            </w:r>
          </w:p>
        </w:tc>
        <w:tc>
          <w:tcPr>
            <w:tcW w:w="855" w:type="dxa"/>
            <w:shd w:val="clear" w:color="auto" w:fill="auto"/>
            <w:noWrap/>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0.50</w:t>
            </w:r>
          </w:p>
        </w:tc>
        <w:tc>
          <w:tcPr>
            <w:tcW w:w="690"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Arial" w:hAnsi="Arial" w:eastAsia="宋体" w:cs="Arial"/>
                <w:color w:val="000000" w:themeColor="text1"/>
                <w:sz w:val="21"/>
                <w:szCs w:val="21"/>
                <w:lang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w:t>
            </w:r>
            <w:r>
              <w:rPr>
                <w:rFonts w:hint="eastAsia" w:ascii="Arial" w:hAnsi="Arial" w:cs="Arial"/>
                <w:color w:val="000000" w:themeColor="text1"/>
                <w:sz w:val="21"/>
                <w:szCs w:val="21"/>
                <w:lang w:val="en-US" w:eastAsia="zh-CN"/>
                <w14:textFill>
                  <w14:solidFill>
                    <w14:schemeClr w14:val="tx1"/>
                  </w14:solidFill>
                </w14:textFill>
              </w:rPr>
              <w:t>6</w:t>
            </w:r>
          </w:p>
        </w:tc>
        <w:tc>
          <w:tcPr>
            <w:tcW w:w="614"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w:t>
            </w:r>
          </w:p>
        </w:tc>
        <w:tc>
          <w:tcPr>
            <w:tcW w:w="1160" w:type="dxa"/>
            <w:shd w:val="clear" w:color="auto" w:fill="auto"/>
            <w:vAlign w:val="center"/>
          </w:tcPr>
          <w:p>
            <w:pPr>
              <w:keepNext/>
              <w:keepLines w:val="0"/>
              <w:pageBreakBefore w:val="0"/>
              <w:widowControl/>
              <w:kinsoku/>
              <w:wordWrap/>
              <w:overflowPunct/>
              <w:topLinePunct w:val="0"/>
              <w:autoSpaceDE/>
              <w:autoSpaceDN/>
              <w:bidi w:val="0"/>
              <w:adjustRightInd/>
              <w:snapToGrid/>
              <w:spacing w:line="440" w:lineRule="exact"/>
              <w:jc w:val="center"/>
              <w:textAlignment w:val="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含油污水回用水COD</w:t>
            </w:r>
          </w:p>
        </w:tc>
        <w:tc>
          <w:tcPr>
            <w:tcW w:w="1289" w:type="dxa"/>
            <w:vMerge w:val="restart"/>
            <w:shd w:val="clear" w:color="auto" w:fill="auto"/>
            <w:vAlign w:val="center"/>
          </w:tcPr>
          <w:p>
            <w:pPr>
              <w:spacing w:line="440" w:lineRule="exact"/>
              <w:jc w:val="center"/>
              <w:rPr>
                <w:rFonts w:ascii="Arial" w:hAnsi="Arial" w:cs="Arial"/>
                <w:sz w:val="21"/>
                <w:szCs w:val="21"/>
              </w:rPr>
            </w:pPr>
            <w:r>
              <w:rPr>
                <w:rFonts w:ascii="Arial" w:hAnsi="Arial" w:cs="Arial"/>
                <w:sz w:val="21"/>
                <w:szCs w:val="21"/>
              </w:rPr>
              <w:t>来自化验室数据</w:t>
            </w:r>
          </w:p>
        </w:tc>
        <w:tc>
          <w:tcPr>
            <w:tcW w:w="1155" w:type="dxa"/>
            <w:vAlign w:val="center"/>
          </w:tcPr>
          <w:p>
            <w:pPr>
              <w:spacing w:line="440" w:lineRule="exact"/>
              <w:jc w:val="center"/>
              <w:rPr>
                <w:rFonts w:ascii="Arial" w:hAnsi="Arial" w:cs="Arial"/>
                <w:sz w:val="21"/>
                <w:szCs w:val="21"/>
              </w:rPr>
            </w:pPr>
            <w:r>
              <w:rPr>
                <w:rFonts w:ascii="Arial" w:hAnsi="Arial" w:cs="Arial"/>
                <w:sz w:val="21"/>
                <w:szCs w:val="21"/>
              </w:rPr>
              <w:t>≤60</w:t>
            </w:r>
          </w:p>
        </w:tc>
        <w:tc>
          <w:tcPr>
            <w:tcW w:w="891"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mg/L</w:t>
            </w:r>
          </w:p>
        </w:tc>
        <w:tc>
          <w:tcPr>
            <w:tcW w:w="94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34</w:t>
            </w:r>
          </w:p>
        </w:tc>
        <w:tc>
          <w:tcPr>
            <w:tcW w:w="840" w:type="dxa"/>
            <w:shd w:val="clear" w:color="auto" w:fill="auto"/>
            <w:noWrap/>
            <w:vAlign w:val="center"/>
          </w:tcPr>
          <w:p>
            <w:pPr>
              <w:spacing w:line="440" w:lineRule="exact"/>
              <w:jc w:val="center"/>
              <w:rPr>
                <w:rFonts w:ascii="Arial" w:hAnsi="Arial" w:cs="Arial"/>
                <w:sz w:val="21"/>
                <w:szCs w:val="21"/>
              </w:rPr>
            </w:pPr>
            <w:r>
              <w:rPr>
                <w:rFonts w:ascii="Arial" w:hAnsi="Arial" w:cs="Arial"/>
                <w:sz w:val="21"/>
                <w:szCs w:val="21"/>
              </w:rPr>
              <w:t>≤10</w:t>
            </w:r>
          </w:p>
        </w:tc>
        <w:tc>
          <w:tcPr>
            <w:tcW w:w="85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20.6</w:t>
            </w:r>
          </w:p>
        </w:tc>
        <w:tc>
          <w:tcPr>
            <w:tcW w:w="690" w:type="dxa"/>
            <w:shd w:val="clear" w:color="auto" w:fill="auto"/>
            <w:vAlign w:val="center"/>
          </w:tcPr>
          <w:p>
            <w:pPr>
              <w:spacing w:line="440" w:lineRule="exact"/>
              <w:jc w:val="center"/>
              <w:rPr>
                <w:rFonts w:hint="eastAsia" w:ascii="Arial" w:hAnsi="Arial" w:eastAsia="宋体" w:cs="Arial"/>
                <w:sz w:val="21"/>
                <w:szCs w:val="21"/>
                <w:lang w:eastAsia="zh-CN"/>
              </w:rPr>
            </w:pPr>
            <w:r>
              <w:rPr>
                <w:rFonts w:hint="eastAsia" w:ascii="Arial" w:hAnsi="Arial" w:cs="Arial"/>
                <w:sz w:val="21"/>
                <w:szCs w:val="21"/>
              </w:rPr>
              <w:t>3</w:t>
            </w:r>
            <w:r>
              <w:rPr>
                <w:rFonts w:hint="eastAsia" w:ascii="Arial" w:hAnsi="Arial" w:cs="Arial"/>
                <w:sz w:val="21"/>
                <w:szCs w:val="21"/>
                <w:lang w:val="en-US" w:eastAsia="zh-CN"/>
              </w:rPr>
              <w:t>1</w:t>
            </w:r>
          </w:p>
        </w:tc>
        <w:tc>
          <w:tcPr>
            <w:tcW w:w="61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0</w:t>
            </w:r>
          </w:p>
        </w:tc>
        <w:tc>
          <w:tcPr>
            <w:tcW w:w="1160"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含油污水回用水氨氮</w:t>
            </w:r>
          </w:p>
        </w:tc>
        <w:tc>
          <w:tcPr>
            <w:tcW w:w="1289" w:type="dxa"/>
            <w:vMerge w:val="continue"/>
            <w:shd w:val="clear" w:color="auto" w:fill="auto"/>
            <w:vAlign w:val="center"/>
          </w:tcPr>
          <w:p>
            <w:pPr>
              <w:spacing w:line="440" w:lineRule="exact"/>
              <w:jc w:val="center"/>
              <w:rPr>
                <w:rFonts w:ascii="Arial" w:hAnsi="Arial" w:cs="Arial"/>
                <w:sz w:val="21"/>
                <w:szCs w:val="21"/>
              </w:rPr>
            </w:pPr>
          </w:p>
        </w:tc>
        <w:tc>
          <w:tcPr>
            <w:tcW w:w="1155" w:type="dxa"/>
            <w:vAlign w:val="center"/>
          </w:tcPr>
          <w:p>
            <w:pPr>
              <w:spacing w:line="440" w:lineRule="exact"/>
              <w:jc w:val="center"/>
              <w:rPr>
                <w:rFonts w:ascii="Arial" w:hAnsi="Arial" w:cs="Arial"/>
                <w:sz w:val="21"/>
                <w:szCs w:val="21"/>
              </w:rPr>
            </w:pPr>
            <w:r>
              <w:rPr>
                <w:rFonts w:ascii="Arial" w:hAnsi="Arial" w:cs="Arial"/>
                <w:sz w:val="21"/>
                <w:szCs w:val="21"/>
              </w:rPr>
              <w:t>≤10</w:t>
            </w:r>
          </w:p>
        </w:tc>
        <w:tc>
          <w:tcPr>
            <w:tcW w:w="891"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mg/L</w:t>
            </w:r>
          </w:p>
        </w:tc>
        <w:tc>
          <w:tcPr>
            <w:tcW w:w="94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1.67</w:t>
            </w:r>
          </w:p>
        </w:tc>
        <w:tc>
          <w:tcPr>
            <w:tcW w:w="840" w:type="dxa"/>
            <w:shd w:val="clear" w:color="auto" w:fill="auto"/>
            <w:noWrap/>
            <w:vAlign w:val="center"/>
          </w:tcPr>
          <w:p>
            <w:pPr>
              <w:spacing w:line="440" w:lineRule="exact"/>
              <w:jc w:val="center"/>
              <w:rPr>
                <w:rFonts w:hint="eastAsia" w:ascii="Arial" w:hAnsi="Arial" w:eastAsia="宋体" w:cs="Arial"/>
                <w:sz w:val="21"/>
                <w:szCs w:val="21"/>
                <w:lang w:eastAsia="zh-CN"/>
              </w:rPr>
            </w:pPr>
            <w:r>
              <w:rPr>
                <w:rFonts w:hint="eastAsia" w:ascii="Arial" w:hAnsi="Arial" w:cs="Arial"/>
                <w:sz w:val="21"/>
                <w:szCs w:val="21"/>
              </w:rPr>
              <w:t>0.</w:t>
            </w:r>
            <w:r>
              <w:rPr>
                <w:rFonts w:hint="eastAsia" w:ascii="Arial" w:hAnsi="Arial" w:cs="Arial"/>
                <w:sz w:val="21"/>
                <w:szCs w:val="21"/>
                <w:lang w:val="en-US" w:eastAsia="zh-CN"/>
              </w:rPr>
              <w:t>1</w:t>
            </w:r>
          </w:p>
        </w:tc>
        <w:tc>
          <w:tcPr>
            <w:tcW w:w="85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0.38</w:t>
            </w:r>
          </w:p>
        </w:tc>
        <w:tc>
          <w:tcPr>
            <w:tcW w:w="690" w:type="dxa"/>
            <w:shd w:val="clear" w:color="auto" w:fill="auto"/>
            <w:vAlign w:val="center"/>
          </w:tcPr>
          <w:p>
            <w:pPr>
              <w:spacing w:line="440" w:lineRule="exact"/>
              <w:jc w:val="center"/>
              <w:rPr>
                <w:rFonts w:hint="eastAsia" w:ascii="Arial" w:hAnsi="Arial" w:eastAsia="宋体" w:cs="Arial"/>
                <w:sz w:val="21"/>
                <w:szCs w:val="21"/>
                <w:lang w:eastAsia="zh-CN"/>
              </w:rPr>
            </w:pPr>
            <w:r>
              <w:rPr>
                <w:rFonts w:ascii="Arial" w:hAnsi="Arial" w:cs="Arial"/>
                <w:sz w:val="21"/>
                <w:szCs w:val="21"/>
              </w:rPr>
              <w:t>3</w:t>
            </w:r>
            <w:r>
              <w:rPr>
                <w:rFonts w:hint="eastAsia" w:ascii="Arial" w:hAnsi="Arial" w:cs="Arial"/>
                <w:sz w:val="21"/>
                <w:szCs w:val="21"/>
                <w:lang w:val="en-US" w:eastAsia="zh-CN"/>
              </w:rPr>
              <w:t>1</w:t>
            </w:r>
          </w:p>
        </w:tc>
        <w:tc>
          <w:tcPr>
            <w:tcW w:w="61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0</w:t>
            </w:r>
          </w:p>
        </w:tc>
        <w:tc>
          <w:tcPr>
            <w:tcW w:w="1160"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含盐污水外排COD</w:t>
            </w:r>
          </w:p>
        </w:tc>
        <w:tc>
          <w:tcPr>
            <w:tcW w:w="1289" w:type="dxa"/>
            <w:vMerge w:val="continue"/>
            <w:shd w:val="clear" w:color="auto" w:fill="auto"/>
            <w:vAlign w:val="center"/>
          </w:tcPr>
          <w:p>
            <w:pPr>
              <w:spacing w:line="440" w:lineRule="exact"/>
              <w:jc w:val="center"/>
              <w:rPr>
                <w:rFonts w:ascii="Arial" w:hAnsi="Arial" w:cs="Arial"/>
                <w:sz w:val="21"/>
                <w:szCs w:val="21"/>
              </w:rPr>
            </w:pPr>
          </w:p>
        </w:tc>
        <w:tc>
          <w:tcPr>
            <w:tcW w:w="1155" w:type="dxa"/>
            <w:vAlign w:val="center"/>
          </w:tcPr>
          <w:p>
            <w:pPr>
              <w:spacing w:line="440" w:lineRule="exact"/>
              <w:jc w:val="center"/>
              <w:rPr>
                <w:rFonts w:ascii="Arial" w:hAnsi="Arial" w:cs="Arial"/>
                <w:sz w:val="21"/>
                <w:szCs w:val="21"/>
              </w:rPr>
            </w:pPr>
            <w:r>
              <w:rPr>
                <w:rFonts w:ascii="Arial" w:hAnsi="Arial" w:cs="Arial"/>
                <w:sz w:val="21"/>
                <w:szCs w:val="21"/>
              </w:rPr>
              <w:t>≤100</w:t>
            </w:r>
          </w:p>
        </w:tc>
        <w:tc>
          <w:tcPr>
            <w:tcW w:w="891"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mg/L</w:t>
            </w:r>
          </w:p>
        </w:tc>
        <w:tc>
          <w:tcPr>
            <w:tcW w:w="94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51</w:t>
            </w:r>
          </w:p>
        </w:tc>
        <w:tc>
          <w:tcPr>
            <w:tcW w:w="840"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14</w:t>
            </w:r>
          </w:p>
        </w:tc>
        <w:tc>
          <w:tcPr>
            <w:tcW w:w="85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lang w:val="en-US" w:eastAsia="zh-CN"/>
              </w:rPr>
              <w:t>29.5</w:t>
            </w:r>
          </w:p>
        </w:tc>
        <w:tc>
          <w:tcPr>
            <w:tcW w:w="690" w:type="dxa"/>
            <w:shd w:val="clear" w:color="auto" w:fill="auto"/>
            <w:vAlign w:val="center"/>
          </w:tcPr>
          <w:p>
            <w:pPr>
              <w:spacing w:line="440" w:lineRule="exact"/>
              <w:jc w:val="center"/>
              <w:rPr>
                <w:rFonts w:hint="eastAsia" w:ascii="Arial" w:hAnsi="Arial" w:eastAsia="宋体" w:cs="Arial"/>
                <w:sz w:val="21"/>
                <w:szCs w:val="21"/>
                <w:lang w:eastAsia="zh-CN"/>
              </w:rPr>
            </w:pPr>
            <w:r>
              <w:rPr>
                <w:rFonts w:hint="eastAsia" w:ascii="Arial" w:hAnsi="Arial" w:cs="Arial"/>
                <w:sz w:val="21"/>
                <w:szCs w:val="21"/>
              </w:rPr>
              <w:t>3</w:t>
            </w:r>
            <w:r>
              <w:rPr>
                <w:rFonts w:hint="eastAsia" w:ascii="Arial" w:hAnsi="Arial" w:cs="Arial"/>
                <w:sz w:val="21"/>
                <w:szCs w:val="21"/>
                <w:lang w:val="en-US" w:eastAsia="zh-CN"/>
              </w:rPr>
              <w:t>1</w:t>
            </w:r>
          </w:p>
        </w:tc>
        <w:tc>
          <w:tcPr>
            <w:tcW w:w="61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0</w:t>
            </w:r>
          </w:p>
        </w:tc>
        <w:tc>
          <w:tcPr>
            <w:tcW w:w="1160"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含盐污水外排氨氮</w:t>
            </w:r>
          </w:p>
        </w:tc>
        <w:tc>
          <w:tcPr>
            <w:tcW w:w="1289" w:type="dxa"/>
            <w:vMerge w:val="continue"/>
            <w:shd w:val="clear" w:color="auto" w:fill="auto"/>
            <w:vAlign w:val="center"/>
          </w:tcPr>
          <w:p>
            <w:pPr>
              <w:spacing w:line="440" w:lineRule="exact"/>
              <w:jc w:val="center"/>
              <w:rPr>
                <w:rFonts w:ascii="Arial" w:hAnsi="Arial" w:cs="Arial"/>
                <w:sz w:val="21"/>
                <w:szCs w:val="21"/>
              </w:rPr>
            </w:pPr>
          </w:p>
        </w:tc>
        <w:tc>
          <w:tcPr>
            <w:tcW w:w="1155" w:type="dxa"/>
            <w:vAlign w:val="center"/>
          </w:tcPr>
          <w:p>
            <w:pPr>
              <w:spacing w:line="440" w:lineRule="exact"/>
              <w:jc w:val="center"/>
              <w:rPr>
                <w:rFonts w:ascii="Arial" w:hAnsi="Arial" w:cs="Arial"/>
                <w:sz w:val="21"/>
                <w:szCs w:val="21"/>
              </w:rPr>
            </w:pPr>
            <w:r>
              <w:rPr>
                <w:rFonts w:ascii="Arial" w:hAnsi="Arial" w:cs="Arial"/>
                <w:sz w:val="21"/>
                <w:szCs w:val="21"/>
              </w:rPr>
              <w:t>≤20</w:t>
            </w:r>
          </w:p>
        </w:tc>
        <w:tc>
          <w:tcPr>
            <w:tcW w:w="891"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mg/L</w:t>
            </w:r>
          </w:p>
        </w:tc>
        <w:tc>
          <w:tcPr>
            <w:tcW w:w="945" w:type="dxa"/>
            <w:shd w:val="clear" w:color="auto" w:fill="auto"/>
            <w:noWrap/>
            <w:vAlign w:val="center"/>
          </w:tcPr>
          <w:p>
            <w:pPr>
              <w:spacing w:line="440" w:lineRule="exact"/>
              <w:jc w:val="center"/>
              <w:rPr>
                <w:rFonts w:hint="default" w:ascii="Arial" w:hAnsi="Arial" w:eastAsia="宋体" w:cs="Arial"/>
                <w:sz w:val="21"/>
                <w:szCs w:val="21"/>
                <w:lang w:val="en-US" w:eastAsia="zh-CN"/>
              </w:rPr>
            </w:pPr>
            <w:r>
              <w:rPr>
                <w:rFonts w:hint="eastAsia" w:ascii="Arial" w:hAnsi="Arial" w:cs="Arial"/>
                <w:sz w:val="21"/>
                <w:szCs w:val="21"/>
              </w:rPr>
              <w:t>0.</w:t>
            </w:r>
            <w:r>
              <w:rPr>
                <w:rFonts w:hint="eastAsia" w:ascii="Arial" w:hAnsi="Arial" w:cs="Arial"/>
                <w:sz w:val="21"/>
                <w:szCs w:val="21"/>
                <w:lang w:val="en-US" w:eastAsia="zh-CN"/>
              </w:rPr>
              <w:t>27</w:t>
            </w:r>
          </w:p>
        </w:tc>
        <w:tc>
          <w:tcPr>
            <w:tcW w:w="840" w:type="dxa"/>
            <w:shd w:val="clear" w:color="auto" w:fill="auto"/>
            <w:noWrap/>
            <w:vAlign w:val="center"/>
          </w:tcPr>
          <w:p>
            <w:pPr>
              <w:spacing w:line="440" w:lineRule="exact"/>
              <w:jc w:val="center"/>
              <w:rPr>
                <w:rFonts w:hint="eastAsia" w:ascii="Arial" w:hAnsi="Arial" w:eastAsia="宋体" w:cs="Arial"/>
                <w:sz w:val="21"/>
                <w:szCs w:val="21"/>
                <w:lang w:eastAsia="zh-CN"/>
              </w:rPr>
            </w:pPr>
            <w:r>
              <w:rPr>
                <w:rFonts w:hint="eastAsia" w:ascii="Arial" w:hAnsi="Arial" w:cs="Arial"/>
                <w:sz w:val="21"/>
                <w:szCs w:val="21"/>
              </w:rPr>
              <w:t>0.</w:t>
            </w:r>
            <w:r>
              <w:rPr>
                <w:rFonts w:hint="eastAsia" w:ascii="Arial" w:hAnsi="Arial" w:cs="Arial"/>
                <w:sz w:val="21"/>
                <w:szCs w:val="21"/>
                <w:lang w:val="en-US" w:eastAsia="zh-CN"/>
              </w:rPr>
              <w:t>1</w:t>
            </w:r>
          </w:p>
        </w:tc>
        <w:tc>
          <w:tcPr>
            <w:tcW w:w="855" w:type="dxa"/>
            <w:shd w:val="clear" w:color="auto" w:fill="auto"/>
            <w:noWrap/>
            <w:vAlign w:val="center"/>
          </w:tcPr>
          <w:p>
            <w:pPr>
              <w:spacing w:line="440" w:lineRule="exact"/>
              <w:jc w:val="center"/>
              <w:rPr>
                <w:rFonts w:ascii="Arial" w:hAnsi="Arial" w:cs="Arial"/>
                <w:sz w:val="21"/>
                <w:szCs w:val="21"/>
              </w:rPr>
            </w:pPr>
            <w:r>
              <w:rPr>
                <w:rFonts w:hint="eastAsia" w:ascii="Arial" w:hAnsi="Arial" w:cs="Arial"/>
                <w:sz w:val="21"/>
                <w:szCs w:val="21"/>
              </w:rPr>
              <w:t>0.</w:t>
            </w:r>
            <w:r>
              <w:rPr>
                <w:rFonts w:ascii="Arial" w:hAnsi="Arial" w:cs="Arial"/>
                <w:sz w:val="21"/>
                <w:szCs w:val="21"/>
              </w:rPr>
              <w:t>11</w:t>
            </w:r>
          </w:p>
        </w:tc>
        <w:tc>
          <w:tcPr>
            <w:tcW w:w="690" w:type="dxa"/>
            <w:shd w:val="clear" w:color="auto" w:fill="auto"/>
            <w:vAlign w:val="center"/>
          </w:tcPr>
          <w:p>
            <w:pPr>
              <w:spacing w:line="440" w:lineRule="exact"/>
              <w:jc w:val="center"/>
              <w:rPr>
                <w:rFonts w:hint="eastAsia" w:ascii="Arial" w:hAnsi="Arial" w:eastAsia="宋体" w:cs="Arial"/>
                <w:sz w:val="21"/>
                <w:szCs w:val="21"/>
                <w:lang w:eastAsia="zh-CN"/>
              </w:rPr>
            </w:pPr>
            <w:r>
              <w:rPr>
                <w:rFonts w:hint="eastAsia" w:ascii="Arial" w:hAnsi="Arial" w:cs="Arial"/>
                <w:sz w:val="21"/>
                <w:szCs w:val="21"/>
              </w:rPr>
              <w:t>3</w:t>
            </w:r>
            <w:r>
              <w:rPr>
                <w:rFonts w:hint="eastAsia" w:ascii="Arial" w:hAnsi="Arial" w:cs="Arial"/>
                <w:sz w:val="21"/>
                <w:szCs w:val="21"/>
                <w:lang w:val="en-US" w:eastAsia="zh-CN"/>
              </w:rPr>
              <w:t>1</w:t>
            </w:r>
          </w:p>
        </w:tc>
        <w:tc>
          <w:tcPr>
            <w:tcW w:w="614"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0</w:t>
            </w:r>
          </w:p>
        </w:tc>
        <w:tc>
          <w:tcPr>
            <w:tcW w:w="1160" w:type="dxa"/>
            <w:shd w:val="clear" w:color="auto" w:fill="auto"/>
            <w:vAlign w:val="center"/>
          </w:tcPr>
          <w:p>
            <w:pPr>
              <w:spacing w:line="440" w:lineRule="exact"/>
              <w:jc w:val="center"/>
              <w:rPr>
                <w:rFonts w:ascii="Arial" w:hAnsi="Arial" w:cs="Arial"/>
                <w:sz w:val="21"/>
                <w:szCs w:val="21"/>
              </w:rPr>
            </w:pPr>
            <w:r>
              <w:rPr>
                <w:rFonts w:ascii="Arial" w:hAnsi="Arial" w:cs="Arial"/>
                <w:sz w:val="21"/>
                <w:szCs w:val="21"/>
              </w:rPr>
              <w:t>100.0</w:t>
            </w:r>
          </w:p>
        </w:tc>
      </w:tr>
    </w:tbl>
    <w:p>
      <w:pPr>
        <w:rPr>
          <w:szCs w:val="21"/>
        </w:rPr>
      </w:pPr>
      <w:r>
        <w:rPr>
          <w:rFonts w:hint="eastAsia"/>
          <w:szCs w:val="21"/>
        </w:rPr>
        <w:t>说明：</w:t>
      </w:r>
    </w:p>
    <w:p>
      <w:pPr>
        <w:pStyle w:val="57"/>
        <w:numPr>
          <w:ilvl w:val="0"/>
          <w:numId w:val="1"/>
        </w:numPr>
        <w:spacing w:line="360" w:lineRule="exact"/>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spacing w:line="360" w:lineRule="exact"/>
        <w:ind w:firstLineChars="0"/>
        <w:rPr>
          <w:rFonts w:ascii="宋体" w:hAnsi="宋体"/>
          <w:szCs w:val="21"/>
        </w:rPr>
      </w:pPr>
      <w:r>
        <w:rPr>
          <w:rFonts w:hint="eastAsia" w:ascii="宋体" w:hAnsi="宋体"/>
          <w:szCs w:val="21"/>
        </w:rPr>
        <w:t>上表中质量数据统计源自公司质检部LIMS系统。</w:t>
      </w:r>
    </w:p>
    <w:p>
      <w:pPr>
        <w:pStyle w:val="3"/>
        <w:rPr>
          <w:rFonts w:hint="eastAsia" w:ascii="Arial" w:hAnsi="Arial" w:cs="Arial"/>
          <w:bCs w:val="0"/>
          <w:szCs w:val="20"/>
        </w:rPr>
      </w:pPr>
      <w:bookmarkStart w:id="62" w:name="_Toc16510"/>
      <w:bookmarkStart w:id="63" w:name="_Toc2544"/>
    </w:p>
    <w:p>
      <w:pPr>
        <w:pStyle w:val="3"/>
      </w:pPr>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hint="eastAsia" w:ascii="黑体" w:hAnsi="黑体" w:eastAsia="黑体" w:cs="黑体"/>
          <w:szCs w:val="21"/>
        </w:rPr>
        <w:t>图6-1 平稳率变化趋势图</w:t>
      </w:r>
    </w:p>
    <w:p>
      <w:pPr>
        <w:rPr>
          <w:szCs w:val="21"/>
        </w:rPr>
      </w:pPr>
      <w:r>
        <w:rPr>
          <w:rFonts w:hint="eastAsia"/>
          <w:szCs w:val="21"/>
          <w:lang w:val="en-US" w:eastAsia="zh-CN"/>
        </w:rPr>
        <w:t>5月</w:t>
      </w:r>
      <w:r>
        <w:rPr>
          <w:rFonts w:hint="eastAsia"/>
          <w:szCs w:val="21"/>
        </w:rPr>
        <w:t>水处理装置运行无异常波动，平稳率100%。</w:t>
      </w:r>
    </w:p>
    <w:p>
      <w:pPr>
        <w:pStyle w:val="3"/>
        <w:spacing w:line="360" w:lineRule="exact"/>
        <w:rPr>
          <w:rFonts w:hint="eastAsia" w:ascii="Arial" w:hAnsi="Arial" w:cs="Arial"/>
          <w:bCs w:val="0"/>
          <w:szCs w:val="20"/>
        </w:rPr>
      </w:pPr>
      <w:bookmarkStart w:id="64" w:name="_Toc13346"/>
      <w:bookmarkStart w:id="65" w:name="_Toc3705"/>
    </w:p>
    <w:p>
      <w:pPr>
        <w:pStyle w:val="3"/>
        <w:spacing w:line="360" w:lineRule="exact"/>
      </w:pPr>
      <w:r>
        <w:rPr>
          <w:rFonts w:hint="eastAsia" w:ascii="Arial" w:hAnsi="Arial" w:cs="Arial"/>
          <w:bCs w:val="0"/>
          <w:szCs w:val="20"/>
        </w:rPr>
        <w:t>6.3 盲</w:t>
      </w:r>
      <w:r>
        <w:rPr>
          <w:rFonts w:hint="eastAsia"/>
        </w:rPr>
        <w:t>板管理</w:t>
      </w:r>
      <w:bookmarkEnd w:id="64"/>
      <w:bookmarkEnd w:id="65"/>
    </w:p>
    <w:p>
      <w:pPr>
        <w:rPr>
          <w:szCs w:val="21"/>
        </w:rPr>
      </w:pPr>
      <w:r>
        <w:rPr>
          <w:rFonts w:hint="eastAsia"/>
          <w:szCs w:val="21"/>
          <w:lang w:val="en-US" w:eastAsia="zh-CN"/>
        </w:rPr>
        <w:t>5月</w:t>
      </w:r>
      <w:r>
        <w:rPr>
          <w:rFonts w:hint="eastAsia"/>
          <w:szCs w:val="21"/>
        </w:rPr>
        <w:t>份水处理装置盲板状态</w:t>
      </w:r>
      <w:r>
        <w:rPr>
          <w:rFonts w:hint="eastAsia"/>
          <w:szCs w:val="21"/>
          <w:lang w:val="en-US" w:eastAsia="zh-CN"/>
        </w:rPr>
        <w:t>已</w:t>
      </w:r>
      <w:r>
        <w:rPr>
          <w:rFonts w:hint="eastAsia"/>
          <w:szCs w:val="21"/>
        </w:rPr>
        <w:t>更新。</w:t>
      </w:r>
    </w:p>
    <w:p>
      <w:pPr>
        <w:pStyle w:val="2"/>
        <w:spacing w:before="0" w:beforeLines="0" w:after="0"/>
        <w:rPr>
          <w:rFonts w:ascii="Arial" w:hAnsi="Arial" w:cs="Arial"/>
        </w:rPr>
      </w:pPr>
      <w:bookmarkStart w:id="66" w:name="_Toc3790"/>
      <w:bookmarkStart w:id="67" w:name="_Toc23117"/>
    </w:p>
    <w:p>
      <w:pPr>
        <w:pStyle w:val="2"/>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3"/>
        <w:spacing w:line="360" w:lineRule="exact"/>
        <w:rPr>
          <w:rFonts w:hint="eastAsia" w:ascii="Arial" w:hAnsi="Arial" w:cs="Arial"/>
          <w:bCs w:val="0"/>
          <w:szCs w:val="20"/>
        </w:rPr>
      </w:pPr>
      <w:bookmarkStart w:id="68" w:name="_Toc26230"/>
      <w:bookmarkStart w:id="69" w:name="_Toc5171"/>
    </w:p>
    <w:p>
      <w:pPr>
        <w:pStyle w:val="3"/>
        <w:spacing w:line="360" w:lineRule="exact"/>
        <w:rPr>
          <w:rFonts w:hint="eastAsia"/>
        </w:rPr>
      </w:pPr>
      <w:r>
        <w:rPr>
          <w:rFonts w:hint="eastAsia" w:ascii="Arial" w:hAnsi="Arial" w:cs="Arial"/>
          <w:bCs w:val="0"/>
          <w:szCs w:val="20"/>
        </w:rPr>
        <w:t xml:space="preserve">7.1 </w:t>
      </w:r>
      <w:r>
        <w:rPr>
          <w:rFonts w:hint="eastAsia"/>
        </w:rPr>
        <w:t>装置联锁投用情况</w:t>
      </w:r>
      <w:bookmarkEnd w:id="68"/>
      <w:bookmarkEnd w:id="69"/>
    </w:p>
    <w:p>
      <w:pPr>
        <w:rPr>
          <w:rFonts w:hint="eastAsia"/>
          <w:lang w:val="en-US" w:eastAsia="zh-CN"/>
        </w:rPr>
      </w:pPr>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spacing w:line="440" w:lineRule="exact"/>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lang w:val="en-US" w:eastAsia="zh-CN"/>
              </w:rPr>
              <w:t>5月</w:t>
            </w:r>
            <w:r>
              <w:rPr>
                <w:rFonts w:hint="eastAsia" w:ascii="Arial" w:hAnsi="Arial" w:cs="Arial"/>
                <w:szCs w:val="21"/>
              </w:rPr>
              <w:t>3</w:t>
            </w:r>
            <w:r>
              <w:rPr>
                <w:rFonts w:hint="eastAsia" w:ascii="Arial" w:hAnsi="Arial" w:cs="Arial"/>
                <w:szCs w:val="21"/>
                <w:lang w:val="en-US" w:eastAsia="zh-CN"/>
              </w:rPr>
              <w:t>1</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联锁</w:t>
            </w: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因压力开关故障，电气等备件中，联锁未投，后台已暂时取消该联锁</w:t>
            </w:r>
          </w:p>
        </w:tc>
      </w:tr>
    </w:tbl>
    <w:p>
      <w:pPr>
        <w:spacing w:line="440" w:lineRule="exact"/>
        <w:rPr>
          <w:rFonts w:ascii="Arial" w:hAnsi="Arial" w:cs="Arial"/>
          <w:szCs w:val="21"/>
        </w:rPr>
      </w:pPr>
    </w:p>
    <w:p>
      <w:pPr>
        <w:pStyle w:val="3"/>
        <w:spacing w:line="360" w:lineRule="exact"/>
      </w:pPr>
      <w:bookmarkStart w:id="71" w:name="_Toc24889"/>
      <w:bookmarkStart w:id="72" w:name="_Toc16188"/>
      <w:r>
        <w:rPr>
          <w:rFonts w:hint="eastAsia" w:ascii="Arial" w:hAnsi="Arial" w:cs="Arial"/>
          <w:bCs w:val="0"/>
          <w:szCs w:val="20"/>
        </w:rPr>
        <w:t>7.2</w:t>
      </w:r>
      <w:r>
        <w:rPr>
          <w:rFonts w:hint="eastAsia"/>
        </w:rPr>
        <w:t xml:space="preserve"> 装置联锁启动情况说明</w:t>
      </w:r>
      <w:bookmarkEnd w:id="71"/>
      <w:bookmarkEnd w:id="72"/>
    </w:p>
    <w:p>
      <w:pPr>
        <w:rPr>
          <w:rFonts w:hint="eastAsia"/>
          <w:szCs w:val="21"/>
        </w:rPr>
      </w:pPr>
    </w:p>
    <w:p>
      <w:pPr>
        <w:rPr>
          <w:rFonts w:hint="eastAsia"/>
          <w:szCs w:val="21"/>
        </w:rPr>
      </w:pPr>
      <w:r>
        <w:rPr>
          <w:rFonts w:hint="eastAsia"/>
          <w:szCs w:val="21"/>
        </w:rPr>
        <w:t>本月联锁正常投用</w:t>
      </w:r>
      <w:r>
        <w:rPr>
          <w:rFonts w:hint="eastAsia"/>
          <w:szCs w:val="21"/>
          <w:lang w:eastAsia="zh-CN"/>
        </w:rPr>
        <w:t>，</w:t>
      </w:r>
      <w:r>
        <w:rPr>
          <w:rFonts w:hint="eastAsia"/>
          <w:szCs w:val="21"/>
        </w:rPr>
        <w:t>总投用率:</w:t>
      </w:r>
      <w:r>
        <w:rPr>
          <w:rFonts w:hint="eastAsia"/>
          <w:szCs w:val="21"/>
          <w:lang w:val="en-US" w:eastAsia="zh-CN"/>
        </w:rPr>
        <w:t>96</w:t>
      </w:r>
      <w:r>
        <w:rPr>
          <w:rFonts w:hint="eastAsia"/>
          <w:szCs w:val="21"/>
        </w:rPr>
        <w:t>%（因近期装置区热水站热水铁离子呈上升趋势，对热水管网进行小流量排补置换，将LIC10101液位控制自动补水阀联锁投手动）。</w:t>
      </w:r>
    </w:p>
    <w:p>
      <w:pPr>
        <w:pStyle w:val="3"/>
        <w:spacing w:line="360" w:lineRule="exact"/>
        <w:rPr>
          <w:rFonts w:hint="eastAsia" w:ascii="Arial" w:hAnsi="Arial" w:cs="Arial"/>
          <w:bCs w:val="0"/>
          <w:szCs w:val="20"/>
        </w:rPr>
      </w:pPr>
      <w:bookmarkStart w:id="73" w:name="_Toc18998"/>
      <w:bookmarkStart w:id="74" w:name="_Toc6298"/>
    </w:p>
    <w:p>
      <w:pPr>
        <w:pStyle w:val="3"/>
        <w:spacing w:line="360" w:lineRule="exact"/>
        <w:rPr>
          <w:rFonts w:ascii="黑体" w:hAnsi="黑体" w:cs="黑体"/>
          <w:szCs w:val="21"/>
        </w:rPr>
      </w:pPr>
      <w:r>
        <w:rPr>
          <w:rFonts w:hint="eastAsia" w:ascii="Arial" w:hAnsi="Arial" w:cs="Arial"/>
          <w:bCs w:val="0"/>
          <w:szCs w:val="20"/>
        </w:rPr>
        <w:t>7.3</w:t>
      </w:r>
      <w:r>
        <w:rPr>
          <w:rFonts w:hint="eastAsia"/>
        </w:rPr>
        <w:t xml:space="preserve"> 生产过程参数报警</w:t>
      </w:r>
      <w:bookmarkEnd w:id="73"/>
      <w:bookmarkEnd w:id="74"/>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spacing w:line="440" w:lineRule="exact"/>
              <w:jc w:val="center"/>
              <w:rPr>
                <w:szCs w:val="21"/>
              </w:rPr>
            </w:pPr>
            <w:r>
              <w:rPr>
                <w:rFonts w:hint="eastAsia"/>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1</w:t>
            </w:r>
          </w:p>
        </w:tc>
        <w:tc>
          <w:tcPr>
            <w:tcW w:w="5171" w:type="dxa"/>
          </w:tcPr>
          <w:p>
            <w:pPr>
              <w:widowControl w:val="0"/>
              <w:spacing w:line="440" w:lineRule="exact"/>
              <w:jc w:val="center"/>
              <w:rPr>
                <w:szCs w:val="21"/>
              </w:rPr>
            </w:pPr>
            <w:r>
              <w:rPr>
                <w:rFonts w:hint="eastAsia"/>
                <w:szCs w:val="21"/>
              </w:rPr>
              <w:t>已激活的报警总数</w:t>
            </w:r>
          </w:p>
        </w:tc>
        <w:tc>
          <w:tcPr>
            <w:tcW w:w="2902" w:type="dxa"/>
          </w:tcPr>
          <w:p>
            <w:pPr>
              <w:widowControl w:val="0"/>
              <w:spacing w:line="440" w:lineRule="exact"/>
              <w:jc w:val="center"/>
              <w:rPr>
                <w:rFonts w:hint="default" w:eastAsia="宋体"/>
                <w:szCs w:val="21"/>
                <w:lang w:val="en-US" w:eastAsia="zh-CN"/>
              </w:rPr>
            </w:pPr>
            <w:r>
              <w:rPr>
                <w:rFonts w:hint="eastAsia"/>
                <w:szCs w:val="21"/>
                <w:lang w:val="en-US" w:eastAsia="zh-CN"/>
              </w:rPr>
              <w:t>13058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2</w:t>
            </w:r>
          </w:p>
        </w:tc>
        <w:tc>
          <w:tcPr>
            <w:tcW w:w="5171" w:type="dxa"/>
          </w:tcPr>
          <w:p>
            <w:pPr>
              <w:widowControl w:val="0"/>
              <w:spacing w:line="440" w:lineRule="exact"/>
              <w:jc w:val="center"/>
              <w:rPr>
                <w:szCs w:val="21"/>
              </w:rPr>
            </w:pPr>
            <w:r>
              <w:rPr>
                <w:rFonts w:hint="eastAsia"/>
                <w:szCs w:val="21"/>
              </w:rPr>
              <w:t>报警率，%</w:t>
            </w:r>
          </w:p>
        </w:tc>
        <w:tc>
          <w:tcPr>
            <w:tcW w:w="2902" w:type="dxa"/>
          </w:tcPr>
          <w:p>
            <w:pPr>
              <w:widowControl w:val="0"/>
              <w:spacing w:line="440" w:lineRule="exact"/>
              <w:jc w:val="center"/>
              <w:rPr>
                <w:szCs w:val="21"/>
              </w:rPr>
            </w:pPr>
            <w:r>
              <w:rPr>
                <w:rFonts w:hint="eastAsia"/>
                <w:szCs w:val="21"/>
                <w:lang w:val="en-US" w:eastAsia="zh-CN"/>
              </w:rPr>
              <w:t>3.51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3</w:t>
            </w:r>
          </w:p>
        </w:tc>
        <w:tc>
          <w:tcPr>
            <w:tcW w:w="5171" w:type="dxa"/>
          </w:tcPr>
          <w:p>
            <w:pPr>
              <w:widowControl w:val="0"/>
              <w:spacing w:line="440" w:lineRule="exact"/>
              <w:jc w:val="center"/>
              <w:rPr>
                <w:szCs w:val="21"/>
              </w:rPr>
            </w:pPr>
            <w:r>
              <w:rPr>
                <w:rFonts w:hint="eastAsia"/>
                <w:szCs w:val="21"/>
              </w:rPr>
              <w:t>报警抑制数</w:t>
            </w:r>
          </w:p>
        </w:tc>
        <w:tc>
          <w:tcPr>
            <w:tcW w:w="2902" w:type="dxa"/>
          </w:tcPr>
          <w:p>
            <w:pPr>
              <w:widowControl w:val="0"/>
              <w:spacing w:line="4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440" w:lineRule="exact"/>
              <w:jc w:val="center"/>
              <w:rPr>
                <w:szCs w:val="21"/>
              </w:rPr>
            </w:pPr>
            <w:r>
              <w:rPr>
                <w:rFonts w:hint="eastAsia"/>
                <w:szCs w:val="21"/>
              </w:rPr>
              <w:t>4</w:t>
            </w:r>
          </w:p>
        </w:tc>
        <w:tc>
          <w:tcPr>
            <w:tcW w:w="5171" w:type="dxa"/>
          </w:tcPr>
          <w:p>
            <w:pPr>
              <w:widowControl w:val="0"/>
              <w:spacing w:line="440" w:lineRule="exact"/>
              <w:jc w:val="center"/>
              <w:rPr>
                <w:szCs w:val="21"/>
              </w:rPr>
            </w:pPr>
            <w:r>
              <w:rPr>
                <w:rFonts w:hint="eastAsia"/>
                <w:szCs w:val="21"/>
              </w:rPr>
              <w:t>持续报警数</w:t>
            </w:r>
          </w:p>
        </w:tc>
        <w:tc>
          <w:tcPr>
            <w:tcW w:w="2902" w:type="dxa"/>
          </w:tcPr>
          <w:p>
            <w:pPr>
              <w:widowControl w:val="0"/>
              <w:spacing w:line="440" w:lineRule="exact"/>
              <w:jc w:val="center"/>
              <w:rPr>
                <w:szCs w:val="21"/>
              </w:rPr>
            </w:pPr>
            <w:r>
              <w:rPr>
                <w:rFonts w:hint="eastAsia"/>
                <w:szCs w:val="21"/>
              </w:rPr>
              <w:t>4</w:t>
            </w:r>
          </w:p>
        </w:tc>
      </w:tr>
    </w:tbl>
    <w:p>
      <w:pPr>
        <w:numPr>
          <w:ilvl w:val="0"/>
          <w:numId w:val="2"/>
        </w:numPr>
        <w:rPr>
          <w:szCs w:val="21"/>
        </w:rPr>
      </w:pPr>
      <w:r>
        <w:rPr>
          <w:rFonts w:hint="eastAsia"/>
          <w:szCs w:val="21"/>
        </w:rPr>
        <w:t>报警抑制数：1个。</w:t>
      </w:r>
    </w:p>
    <w:p>
      <w:pPr>
        <w:ind w:firstLine="420" w:firstLineChars="200"/>
        <w:rPr>
          <w:szCs w:val="21"/>
        </w:rPr>
      </w:pPr>
      <w:r>
        <w:rPr>
          <w:rFonts w:hint="eastAsia"/>
          <w:szCs w:val="21"/>
        </w:rPr>
        <w:t>报警抑制仪表位号5152-FI30613，因流量计故障（缺少备件，暂时无法处理），不能正常显示引起。</w:t>
      </w:r>
    </w:p>
    <w:p>
      <w:pPr>
        <w:numPr>
          <w:ilvl w:val="0"/>
          <w:numId w:val="2"/>
        </w:numPr>
        <w:rPr>
          <w:szCs w:val="21"/>
        </w:rPr>
      </w:pPr>
      <w:r>
        <w:rPr>
          <w:rFonts w:hint="eastAsia"/>
          <w:szCs w:val="21"/>
        </w:rPr>
        <w:t>持续报警数：4个。</w:t>
      </w:r>
    </w:p>
    <w:p>
      <w:pPr>
        <w:ind w:firstLine="420" w:firstLineChars="200"/>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rFonts w:hint="eastAsia" w:ascii="Arial" w:hAnsi="Arial" w:eastAsia="宋体" w:cs="Arial"/>
          <w:bCs w:val="0"/>
          <w:kern w:val="2"/>
          <w:szCs w:val="20"/>
        </w:rPr>
      </w:pPr>
      <w:r>
        <w:rPr>
          <w:rFonts w:hint="eastAsia"/>
          <w:szCs w:val="21"/>
        </w:rPr>
        <w:t>4）5701-PDIA00121（空冷塔阻力）：每次分子筛切换，因进塔空气量变化最高达到52000Nm3/h，且空冷塔内部填料稍有堵塞。此时阻力会达到高报13kPa，每四小时报一次</w:t>
      </w:r>
      <w:r>
        <w:rPr>
          <w:rFonts w:hAnsi="仿宋"/>
        </w:rPr>
        <w:t>。</w:t>
      </w:r>
      <w:bookmarkStart w:id="75" w:name="_Toc34415488"/>
      <w:bookmarkStart w:id="76" w:name="_Toc3873"/>
      <w:bookmarkStart w:id="77" w:name="_Toc10245"/>
    </w:p>
    <w:p>
      <w:pPr>
        <w:pStyle w:val="2"/>
        <w:spacing w:before="0" w:beforeLines="0" w:after="0"/>
        <w:rPr>
          <w:rFonts w:ascii="Cambria" w:hAnsi="Cambria"/>
          <w:b w:val="0"/>
          <w:kern w:val="2"/>
          <w:szCs w:val="32"/>
        </w:rPr>
      </w:pPr>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hint="eastAsia"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名称</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上月单耗ppm</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本月单耗ppm</w:t>
            </w:r>
          </w:p>
        </w:tc>
        <w:tc>
          <w:tcPr>
            <w:tcW w:w="1124" w:type="dxa"/>
          </w:tcPr>
          <w:p>
            <w:pPr>
              <w:widowControl w:val="0"/>
              <w:spacing w:line="440" w:lineRule="exact"/>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spacing w:line="440" w:lineRule="exact"/>
              <w:jc w:val="center"/>
              <w:rPr>
                <w:rFonts w:ascii="Arial" w:hAnsi="Arial" w:cs="Arial"/>
                <w:szCs w:val="21"/>
              </w:rPr>
            </w:pPr>
            <w:r>
              <w:rPr>
                <w:rFonts w:ascii="Arial" w:hAnsi="Arial" w:cs="Arial"/>
                <w:szCs w:val="21"/>
              </w:rPr>
              <w:t>氢氧化钠（固碱）</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0.2045</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 xml:space="preserve">6.3225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0.651</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15.5261</w:t>
            </w:r>
          </w:p>
        </w:tc>
        <w:tc>
          <w:tcPr>
            <w:tcW w:w="1124" w:type="dxa"/>
            <w:vAlign w:val="center"/>
          </w:tcPr>
          <w:p>
            <w:pPr>
              <w:widowControl w:val="0"/>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1.4430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spacing w:line="440" w:lineRule="exact"/>
              <w:jc w:val="center"/>
              <w:rPr>
                <w:rFonts w:ascii="Arial" w:hAnsi="Arial" w:cs="Arial"/>
                <w:szCs w:val="21"/>
              </w:rPr>
            </w:pPr>
            <w:r>
              <w:rPr>
                <w:rFonts w:ascii="Arial" w:hAnsi="Arial" w:cs="Arial"/>
                <w:szCs w:val="21"/>
              </w:rPr>
              <w:t>PAC</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1.1500</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 xml:space="preserve">35.5581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1.825</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43.5256</w:t>
            </w:r>
          </w:p>
        </w:tc>
        <w:tc>
          <w:tcPr>
            <w:tcW w:w="1124" w:type="dxa"/>
            <w:vAlign w:val="center"/>
          </w:tcPr>
          <w:p>
            <w:pPr>
              <w:widowControl w:val="0"/>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8.2250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PAM（阴离子）</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 xml:space="preserve">0.17500 </w:t>
            </w:r>
          </w:p>
        </w:tc>
        <w:tc>
          <w:tcPr>
            <w:tcW w:w="1502" w:type="dxa"/>
            <w:vAlign w:val="center"/>
          </w:tcPr>
          <w:p>
            <w:pPr>
              <w:widowControl w:val="0"/>
              <w:spacing w:line="440" w:lineRule="exact"/>
              <w:jc w:val="center"/>
              <w:rPr>
                <w:rFonts w:ascii="Arial" w:hAnsi="Arial" w:cs="Arial"/>
                <w:szCs w:val="21"/>
              </w:rPr>
            </w:pPr>
            <w:r>
              <w:rPr>
                <w:rFonts w:ascii="Arial" w:hAnsi="Arial" w:cs="Arial"/>
                <w:color w:val="000000" w:themeColor="text1"/>
                <w:szCs w:val="21"/>
                <w14:textFill>
                  <w14:solidFill>
                    <w14:schemeClr w14:val="tx1"/>
                  </w14:solidFill>
                </w14:textFill>
              </w:rPr>
              <w:t xml:space="preserve">5.4110 </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0.3</w:t>
            </w:r>
          </w:p>
        </w:tc>
        <w:tc>
          <w:tcPr>
            <w:tcW w:w="1502" w:type="dxa"/>
            <w:vAlign w:val="center"/>
          </w:tcPr>
          <w:p>
            <w:pPr>
              <w:widowControl w:val="0"/>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7.1549</w:t>
            </w:r>
          </w:p>
        </w:tc>
        <w:tc>
          <w:tcPr>
            <w:tcW w:w="1124" w:type="dxa"/>
            <w:vAlign w:val="center"/>
          </w:tcPr>
          <w:p>
            <w:pPr>
              <w:widowControl w:val="0"/>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1.3800</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rPr>
          <w:szCs w:val="21"/>
        </w:rPr>
      </w:pPr>
      <w:r>
        <w:rPr>
          <w:rFonts w:hint="eastAsia"/>
          <w:szCs w:val="21"/>
        </w:rPr>
        <w:t>湖水本月开车</w:t>
      </w:r>
      <w:r>
        <w:rPr>
          <w:rFonts w:hint="eastAsia"/>
          <w:szCs w:val="21"/>
          <w:lang w:val="en-US" w:eastAsia="zh-CN"/>
        </w:rPr>
        <w:t>12</w:t>
      </w:r>
      <w:r>
        <w:rPr>
          <w:rFonts w:hint="eastAsia"/>
          <w:szCs w:val="21"/>
        </w:rPr>
        <w:t>次，PAC、PAM加药量根据产水浊度进行投加，氢氧化钠根据湖水pH变化进行调节，都属于正常消耗。</w:t>
      </w:r>
    </w:p>
    <w:p>
      <w:pPr>
        <w:spacing w:line="440" w:lineRule="exact"/>
        <w:jc w:val="center"/>
        <w:rPr>
          <w:rFonts w:ascii="Arial" w:hAnsi="Arial" w:cs="Arial"/>
          <w:color w:val="000000" w:themeColor="text1"/>
          <w:szCs w:val="21"/>
          <w14:textFill>
            <w14:solidFill>
              <w14:schemeClr w14:val="tx1"/>
            </w14:solidFill>
          </w14:textFill>
        </w:rPr>
      </w:pPr>
      <w:bookmarkStart w:id="81" w:name="_Toc25871"/>
      <w:bookmarkStart w:id="82" w:name="_Toc1596"/>
      <w:r>
        <w:rPr>
          <w:rFonts w:hint="eastAsia" w:ascii="Arial" w:hAnsi="Arial" w:cs="Arial"/>
          <w:bCs w:val="0"/>
          <w:szCs w:val="20"/>
        </w:rPr>
        <w:t xml:space="preserve">8.2 </w:t>
      </w:r>
      <w:r>
        <w:rPr>
          <w:rFonts w:hint="eastAsia"/>
        </w:rPr>
        <w:t>污水场消耗及分析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16.3000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65.3535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14.175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61.5416</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82.775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0.4500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1.8042</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1.3</w:t>
            </w:r>
            <w:r>
              <w:rPr>
                <w:rFonts w:hint="default" w:ascii="Arial" w:hAnsi="Arial" w:cs="Arial"/>
                <w:color w:val="000000" w:themeColor="text1"/>
                <w:sz w:val="21"/>
                <w:szCs w:val="21"/>
                <w:lang w:val="en-US" w:eastAsia="zh-CN"/>
                <w14:textFill>
                  <w14:solidFill>
                    <w14:schemeClr w14:val="tx1"/>
                  </w14:solidFill>
                </w14:textFill>
              </w:rPr>
              <w:t>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5.6440</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5.175</w:t>
            </w:r>
            <w:r>
              <w:rPr>
                <w:rFonts w:hint="default" w:ascii="Arial" w:hAnsi="Arial" w:cs="Arial"/>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28.0520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112.4722</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29.13</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126.4696</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131.4707</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11.6500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46.7097</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11.05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47.9742</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59.575</w:t>
            </w:r>
            <w:r>
              <w:rPr>
                <w:rFonts w:hint="default" w:ascii="Arial" w:hAnsi="Arial" w:cs="Arial"/>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0.7500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3.0071</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0.72</w:t>
            </w:r>
            <w:r>
              <w:rPr>
                <w:rFonts w:hint="default" w:ascii="Arial" w:hAnsi="Arial" w:cs="Arial"/>
                <w:color w:val="000000" w:themeColor="text1"/>
                <w:sz w:val="21"/>
                <w:szCs w:val="21"/>
                <w:lang w:val="en-US" w:eastAsia="zh-CN"/>
                <w14:textFill>
                  <w14:solidFill>
                    <w14:schemeClr w14:val="tx1"/>
                  </w14:solidFill>
                </w14:textFill>
              </w:rPr>
              <w:t>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3.1259</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3.1450</w:t>
            </w:r>
            <w:r>
              <w:rPr>
                <w:rFonts w:hint="default" w:ascii="Arial" w:hAnsi="Arial" w:cs="Arial"/>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0.0750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0.3007</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eastAsia="zh-CN"/>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0.000</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default" w:ascii="Arial" w:hAnsi="Arial" w:cs="Arial"/>
                <w:color w:val="000000" w:themeColor="text1"/>
                <w:sz w:val="21"/>
                <w:szCs w:val="21"/>
                <w14:textFill>
                  <w14:solidFill>
                    <w14:schemeClr w14:val="tx1"/>
                  </w14:solidFill>
                </w14:textFill>
              </w:rPr>
              <w:t>0.</w:t>
            </w:r>
            <w:r>
              <w:rPr>
                <w:rFonts w:ascii="Arial" w:hAnsi="Arial" w:cs="Arial"/>
                <w:color w:val="000000" w:themeColor="text1"/>
                <w:sz w:val="21"/>
                <w:szCs w:val="21"/>
                <w14:textFill>
                  <w14:solidFill>
                    <w14:schemeClr w14:val="tx1"/>
                  </w14:solidFill>
                </w14:textFill>
              </w:rPr>
              <w:t>4000</w:t>
            </w:r>
          </w:p>
        </w:tc>
      </w:tr>
      <w:tr>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8.2161</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32.9418</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3.596</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15.6122</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29.3157</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1.5640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15333.33</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1.4293</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18634.94</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lang w:val="en-US" w:eastAsia="zh-CN"/>
                <w14:textFill>
                  <w14:solidFill>
                    <w14:schemeClr w14:val="tx1"/>
                  </w14:solidFill>
                </w14:textFill>
              </w:rPr>
              <w:t>12.5281</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spacing w:after="0"/>
        <w:ind w:firstLine="420" w:firstLineChars="200"/>
        <w:rPr>
          <w:rFonts w:ascii="宋体" w:hAnsi="宋体" w:cs="宋体"/>
          <w:szCs w:val="21"/>
        </w:rPr>
      </w:pPr>
      <w:r>
        <w:rPr>
          <w:rFonts w:hint="eastAsia" w:ascii="宋体" w:hAnsi="宋体" w:cs="宋体"/>
          <w:szCs w:val="21"/>
        </w:rPr>
        <w:t>因含油生化进水负荷长期偏低，为维持含油生化污泥浓度，每班A/B列各投加3包葡萄糖，用来补充维持微生物总量所需碳源。含盐生化污泥性状较差，暂按照每班2包葡萄糖投加。</w:t>
      </w:r>
    </w:p>
    <w:p>
      <w:pPr>
        <w:ind w:firstLine="420" w:firstLineChars="200"/>
        <w:rPr>
          <w:szCs w:val="21"/>
        </w:rPr>
      </w:pPr>
      <w:r>
        <w:rPr>
          <w:rFonts w:hint="eastAsia"/>
          <w:szCs w:val="21"/>
        </w:rPr>
        <w:t>为补充微生物总量所需营养物质，本月生化系统磷含量按</w:t>
      </w:r>
      <w:r>
        <w:rPr>
          <w:szCs w:val="21"/>
        </w:rPr>
        <w:t>0</w:t>
      </w:r>
      <w:r>
        <w:rPr>
          <w:rFonts w:hint="eastAsia"/>
          <w:szCs w:val="21"/>
        </w:rPr>
        <w:t>.8～1.</w:t>
      </w:r>
      <w:r>
        <w:rPr>
          <w:szCs w:val="21"/>
        </w:rPr>
        <w:t>0</w:t>
      </w:r>
      <w:r>
        <w:rPr>
          <w:rFonts w:hint="eastAsia"/>
          <w:szCs w:val="21"/>
        </w:rPr>
        <w:t>mg/L控制，本月消耗</w:t>
      </w:r>
      <w:r>
        <w:rPr>
          <w:rFonts w:hint="eastAsia"/>
          <w:szCs w:val="21"/>
          <w:lang w:val="en-US" w:eastAsia="zh-CN"/>
        </w:rPr>
        <w:t>1.3</w:t>
      </w:r>
      <w:r>
        <w:rPr>
          <w:rFonts w:hint="eastAsia"/>
          <w:szCs w:val="21"/>
        </w:rPr>
        <w:t>t磷酸二氢钠。</w:t>
      </w:r>
    </w:p>
    <w:p>
      <w:pPr>
        <w:ind w:firstLine="420" w:firstLineChars="200"/>
        <w:rPr>
          <w:szCs w:val="21"/>
        </w:rPr>
      </w:pPr>
      <w:r>
        <w:rPr>
          <w:rFonts w:hint="eastAsia"/>
          <w:szCs w:val="21"/>
        </w:rPr>
        <w:t>加入氢氧化钠，以补充生化系统硝化反应消耗的碱度，根据生化池出水碱度调整，属正常消耗。目前含油/盐生化碱度按80～100mg/L控制，在不影响生化出水水质的前提下尽量减少液碱消耗，以达到降本增效目的。</w:t>
      </w:r>
    </w:p>
    <w:p>
      <w:pPr>
        <w:ind w:firstLine="420" w:firstLineChars="200"/>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与上月数据基本持平，属正常消耗。</w:t>
      </w:r>
    </w:p>
    <w:p>
      <w:pPr>
        <w:ind w:firstLine="420" w:firstLineChars="200"/>
        <w:rPr>
          <w:rFonts w:hint="default"/>
          <w:szCs w:val="21"/>
          <w:lang w:val="en-US" w:eastAsia="zh-CN"/>
        </w:rPr>
      </w:pPr>
      <w:r>
        <w:rPr>
          <w:rFonts w:hint="eastAsia"/>
          <w:szCs w:val="21"/>
        </w:rPr>
        <w:t>10%次氯酸钠原则上按含油/含盐每个夜班各2h进行投加，以剥离砂滤罐壁的粘泥，</w:t>
      </w:r>
      <w:r>
        <w:rPr>
          <w:rFonts w:hint="eastAsia"/>
          <w:szCs w:val="21"/>
          <w:lang w:val="en-US" w:eastAsia="zh-CN"/>
        </w:rPr>
        <w:t>消耗量较上月明显下降4.0t。因上月高强度、高频次对流沙过滤器进行清洗，所以本月基本没再出现流沙过滤器堵塞情况，每天定点投加次钠进行维护，后期运行再观察。</w:t>
      </w:r>
    </w:p>
    <w:p>
      <w:pPr>
        <w:ind w:firstLine="420" w:firstLineChars="200"/>
        <w:rPr>
          <w:szCs w:val="21"/>
        </w:rPr>
      </w:pPr>
      <w:r>
        <w:rPr>
          <w:rFonts w:hint="eastAsia"/>
          <w:szCs w:val="21"/>
        </w:rPr>
        <w:t>浓硫酸消耗与碱渣碱度和处理量有关，每个白班投加</w:t>
      </w:r>
      <w:r>
        <w:rPr>
          <w:rFonts w:hint="eastAsia"/>
          <w:szCs w:val="21"/>
          <w:lang w:val="en-US" w:eastAsia="zh-CN"/>
        </w:rPr>
        <w:t>一</w:t>
      </w:r>
      <w:r>
        <w:rPr>
          <w:rFonts w:hint="eastAsia"/>
          <w:szCs w:val="21"/>
        </w:rPr>
        <w:t>小时浓硫酸至含油回用水池调节循环水PH，与上月数据基本持平。</w:t>
      </w:r>
    </w:p>
    <w:p>
      <w:pPr>
        <w:ind w:firstLine="420" w:firstLineChars="200"/>
        <w:rPr>
          <w:szCs w:val="21"/>
        </w:rPr>
      </w:pPr>
      <w:r>
        <w:rPr>
          <w:rFonts w:hint="eastAsia"/>
          <w:szCs w:val="21"/>
        </w:rPr>
        <w:t>备注：污水场来水性质在变，药剂投加也需要相应变化，每月药剂消耗对比稍有偏差都属正常现象。</w:t>
      </w:r>
    </w:p>
    <w:p>
      <w:pPr>
        <w:pStyle w:val="3"/>
        <w:rPr>
          <w:rFonts w:hint="eastAsia" w:ascii="Arial" w:hAnsi="Arial" w:cs="Arial"/>
          <w:bCs w:val="0"/>
          <w:szCs w:val="20"/>
        </w:rPr>
      </w:pPr>
      <w:bookmarkStart w:id="83" w:name="_Toc316"/>
      <w:bookmarkStart w:id="84" w:name="_Toc18341"/>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240"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 w:val="21"/>
                <w:szCs w:val="21"/>
              </w:rPr>
            </w:pPr>
            <w:r>
              <w:rPr>
                <w:rFonts w:ascii="Arial" w:hAnsi="Arial" w:cs="Arial"/>
                <w:sz w:val="21"/>
                <w:szCs w:val="21"/>
              </w:rPr>
              <w:t>35.3710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ascii="Arial" w:hAnsi="Arial" w:cs="Arial"/>
                <w:sz w:val="21"/>
                <w:szCs w:val="21"/>
              </w:rPr>
              <w:t>1.4596</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30.564</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1.3074</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default" w:ascii="Arial" w:hAnsi="Arial" w:cs="Arial"/>
                <w:sz w:val="21"/>
                <w:szCs w:val="21"/>
                <w:lang w:val="en-US" w:eastAsia="zh-CN"/>
              </w:rPr>
              <w:t>149.1571</w:t>
            </w:r>
            <w:r>
              <w:rPr>
                <w:rFonts w:hint="eastAsia" w:ascii="Arial" w:hAnsi="Arial" w:cs="Arial"/>
                <w:sz w:val="21"/>
                <w:szCs w:val="21"/>
              </w:rPr>
              <w:t xml:space="preserve">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碳酸钠（固体）</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 w:val="21"/>
                <w:szCs w:val="21"/>
              </w:rPr>
            </w:pPr>
            <w:r>
              <w:rPr>
                <w:rFonts w:ascii="Arial" w:hAnsi="Arial" w:cs="Arial"/>
                <w:sz w:val="21"/>
                <w:szCs w:val="21"/>
              </w:rPr>
              <w:t>0.000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ascii="Arial" w:hAnsi="Arial" w:cs="Arial"/>
                <w:sz w:val="21"/>
                <w:szCs w:val="21"/>
              </w:rPr>
              <w:t>0.000</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 xml:space="preserve">0.0000 </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硝酸钙</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 w:val="21"/>
                <w:szCs w:val="21"/>
              </w:rPr>
            </w:pPr>
            <w:r>
              <w:rPr>
                <w:rFonts w:ascii="Arial" w:hAnsi="Arial" w:cs="Arial"/>
                <w:sz w:val="21"/>
                <w:szCs w:val="21"/>
              </w:rPr>
              <w:t>8.1750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ascii="Arial" w:hAnsi="Arial" w:cs="Arial"/>
                <w:sz w:val="21"/>
                <w:szCs w:val="21"/>
              </w:rPr>
              <w:t>0.3374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8.2</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 w:val="21"/>
                <w:szCs w:val="21"/>
              </w:rPr>
            </w:pPr>
            <w:r>
              <w:rPr>
                <w:rFonts w:hint="eastAsia" w:ascii="Arial" w:hAnsi="Arial" w:cs="Arial"/>
                <w:sz w:val="21"/>
                <w:szCs w:val="21"/>
              </w:rPr>
              <w:t>0.3507</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hint="default" w:ascii="Arial" w:hAnsi="Arial" w:eastAsia="宋体" w:cs="Arial"/>
                <w:sz w:val="21"/>
                <w:szCs w:val="21"/>
                <w:lang w:val="en-US" w:eastAsia="zh-CN"/>
              </w:rPr>
            </w:pPr>
            <w:r>
              <w:rPr>
                <w:rFonts w:hint="default" w:ascii="Arial" w:hAnsi="Arial" w:cs="Arial"/>
                <w:sz w:val="21"/>
                <w:szCs w:val="21"/>
                <w:lang w:val="en-US" w:eastAsia="zh-CN"/>
              </w:rPr>
              <w:t>46.175</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本月含油污水回用水补至一循塔池，补充了循环水的碱度需求，碳酸钠无消耗；含油污水回用量上升降低了硝酸钙的消耗；本月次氯酸钠消耗量较上月</w:t>
      </w:r>
      <w:r>
        <w:rPr>
          <w:rFonts w:hint="eastAsia"/>
          <w:szCs w:val="21"/>
          <w:lang w:val="en-US" w:eastAsia="zh-CN"/>
        </w:rPr>
        <w:t>下降4.807</w:t>
      </w:r>
      <w:r>
        <w:rPr>
          <w:rFonts w:hint="eastAsia"/>
          <w:szCs w:val="21"/>
        </w:rPr>
        <w:t>t</w:t>
      </w:r>
      <w:r>
        <w:rPr>
          <w:rFonts w:hint="eastAsia"/>
          <w:szCs w:val="21"/>
          <w:lang w:val="en-US" w:eastAsia="zh-CN"/>
        </w:rPr>
        <w:t>.主要原因：1.本月含油回用水氨氮数据相对平稳，无大幅度波动，故</w:t>
      </w:r>
      <w:r>
        <w:rPr>
          <w:rFonts w:hint="eastAsia"/>
          <w:szCs w:val="21"/>
        </w:rPr>
        <w:t>属正常消耗。</w:t>
      </w:r>
    </w:p>
    <w:bookmarkEnd w:id="80"/>
    <w:p>
      <w:pPr>
        <w:pStyle w:val="2"/>
        <w:spacing w:before="0" w:beforeLines="0" w:after="0"/>
        <w:rPr>
          <w:rFonts w:ascii="Arial" w:hAnsi="Arial" w:cs="Arial"/>
        </w:rPr>
      </w:pPr>
      <w:bookmarkStart w:id="85" w:name="_Toc11035"/>
      <w:bookmarkStart w:id="86" w:name="_Toc21401"/>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27544"/>
      <w:bookmarkStart w:id="88" w:name="_Toc53649013"/>
      <w:bookmarkStart w:id="89" w:name="_Toc11273"/>
    </w:p>
    <w:p>
      <w:pPr>
        <w:pStyle w:val="3"/>
        <w:spacing w:line="360" w:lineRule="exact"/>
        <w:rPr>
          <w:rFonts w:hint="eastAsia"/>
        </w:rPr>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spacing w:line="440" w:lineRule="exact"/>
        <w:ind w:firstLine="420" w:firstLineChars="200"/>
        <w:rPr>
          <w:rFonts w:hint="eastAsia"/>
          <w:szCs w:val="21"/>
        </w:rPr>
      </w:pPr>
      <w:r>
        <w:rPr>
          <w:rFonts w:hint="eastAsia"/>
          <w:szCs w:val="21"/>
        </w:rPr>
        <w:t>本月一循回用水量稳定至1</w:t>
      </w:r>
      <w:r>
        <w:rPr>
          <w:rFonts w:hint="eastAsia"/>
          <w:szCs w:val="21"/>
          <w:lang w:val="en-US" w:eastAsia="zh-CN"/>
        </w:rPr>
        <w:t>1</w:t>
      </w:r>
      <w:r>
        <w:rPr>
          <w:rFonts w:hint="eastAsia"/>
          <w:szCs w:val="21"/>
        </w:rPr>
        <w:t>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rFonts w:hint="eastAsia"/>
          <w:szCs w:val="21"/>
        </w:rPr>
      </w:pPr>
    </w:p>
    <w:p>
      <w:pPr>
        <w:outlineLvl w:val="2"/>
        <w:rPr>
          <w:rFonts w:hint="eastAsia"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hint="eastAsia"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w:t>
      </w:r>
      <w:r>
        <w:rPr>
          <w:rFonts w:hint="eastAsia"/>
          <w:szCs w:val="21"/>
          <w:lang w:val="en-US" w:eastAsia="zh-CN"/>
        </w:rPr>
        <w:t>5月</w:t>
      </w:r>
      <w:r>
        <w:rPr>
          <w:rFonts w:hint="eastAsia"/>
          <w:szCs w:val="21"/>
        </w:rPr>
        <w:t>份含油污水生化进水COD最高</w:t>
      </w:r>
      <w:r>
        <w:rPr>
          <w:rFonts w:hint="eastAsia"/>
          <w:szCs w:val="21"/>
          <w:lang w:val="en-US" w:eastAsia="zh-CN"/>
        </w:rPr>
        <w:t>351</w:t>
      </w:r>
      <w:r>
        <w:rPr>
          <w:rFonts w:hint="eastAsia"/>
          <w:szCs w:val="21"/>
        </w:rPr>
        <w:t>mg/L，最低</w:t>
      </w:r>
      <w:r>
        <w:rPr>
          <w:rFonts w:hint="eastAsia"/>
          <w:szCs w:val="21"/>
          <w:lang w:val="en-US" w:eastAsia="zh-CN"/>
        </w:rPr>
        <w:t>124</w:t>
      </w:r>
      <w:r>
        <w:rPr>
          <w:rFonts w:hint="eastAsia"/>
          <w:szCs w:val="21"/>
        </w:rPr>
        <w:t>mg/L，平均</w:t>
      </w:r>
      <w:r>
        <w:rPr>
          <w:rFonts w:hint="eastAsia"/>
          <w:szCs w:val="21"/>
          <w:lang w:val="en-US" w:eastAsia="zh-CN"/>
        </w:rPr>
        <w:t>209</w:t>
      </w:r>
      <w:r>
        <w:rPr>
          <w:rFonts w:hint="eastAsia"/>
          <w:szCs w:val="21"/>
        </w:rPr>
        <w:t>mg/L</w:t>
      </w:r>
      <w:r>
        <w:rPr>
          <w:rFonts w:hint="eastAsia"/>
          <w:szCs w:val="21"/>
          <w:lang w:eastAsia="zh-CN"/>
        </w:rPr>
        <w:t>；</w:t>
      </w:r>
      <w:r>
        <w:rPr>
          <w:rFonts w:hint="eastAsia"/>
          <w:szCs w:val="21"/>
        </w:rPr>
        <w:t>含盐污水生化进水COD最高</w:t>
      </w:r>
      <w:r>
        <w:rPr>
          <w:rFonts w:hint="eastAsia"/>
          <w:szCs w:val="21"/>
          <w:lang w:val="en-US" w:eastAsia="zh-CN"/>
        </w:rPr>
        <w:t>517</w:t>
      </w:r>
      <w:r>
        <w:rPr>
          <w:rFonts w:hint="eastAsia"/>
          <w:szCs w:val="21"/>
        </w:rPr>
        <w:t>mg/L，最低1</w:t>
      </w:r>
      <w:r>
        <w:rPr>
          <w:rFonts w:hint="eastAsia"/>
          <w:szCs w:val="21"/>
          <w:lang w:val="en-US" w:eastAsia="zh-CN"/>
        </w:rPr>
        <w:t>10</w:t>
      </w:r>
      <w:r>
        <w:rPr>
          <w:rFonts w:hint="eastAsia"/>
          <w:szCs w:val="21"/>
        </w:rPr>
        <w:t>mg/L，平均</w:t>
      </w:r>
      <w:r>
        <w:rPr>
          <w:rFonts w:hint="eastAsia"/>
          <w:szCs w:val="21"/>
          <w:lang w:val="en-US" w:eastAsia="zh-CN"/>
        </w:rPr>
        <w:t>243</w:t>
      </w:r>
      <w:r>
        <w:rPr>
          <w:rFonts w:hint="eastAsia"/>
          <w:szCs w:val="21"/>
        </w:rPr>
        <w:t>mg/L</w:t>
      </w:r>
      <w:r>
        <w:rPr>
          <w:rFonts w:hint="eastAsia"/>
          <w:szCs w:val="21"/>
          <w:lang w:eastAsia="zh-CN"/>
        </w:rPr>
        <w:t>；</w:t>
      </w:r>
      <w:r>
        <w:rPr>
          <w:rFonts w:hint="eastAsia"/>
          <w:szCs w:val="21"/>
          <w:lang w:val="en-US" w:eastAsia="zh-CN"/>
        </w:rPr>
        <w:t>因5月19日4208罐区含油污水硫化物高至1164.16mg/L，远超设计进水指标20mg/L，这股不合格的含油污水进入含油事故B罐通过三级配水进入含油系统，导致生化池进水硫化物较高，5月21-26日含油A系列生化出水氨氮波动，5月28-30日含油B系列生化出水氨氮波动，</w:t>
      </w:r>
      <w:r>
        <w:rPr>
          <w:rFonts w:hint="eastAsia"/>
          <w:szCs w:val="21"/>
        </w:rPr>
        <w:t>针对上述问题，进行工艺调整：</w:t>
      </w:r>
    </w:p>
    <w:p>
      <w:pPr>
        <w:numPr>
          <w:ilvl w:val="0"/>
          <w:numId w:val="3"/>
        </w:numPr>
        <w:spacing w:line="440" w:lineRule="exact"/>
        <w:ind w:firstLine="420" w:firstLineChars="200"/>
        <w:rPr>
          <w:szCs w:val="21"/>
        </w:rPr>
      </w:pPr>
      <w:r>
        <w:rPr>
          <w:rFonts w:hint="eastAsia"/>
          <w:szCs w:val="21"/>
        </w:rPr>
        <w:t>葡萄糖通过磷盐加药系统均匀连续投加至生化系统</w:t>
      </w:r>
      <w:r>
        <w:rPr>
          <w:rFonts w:hint="eastAsia"/>
          <w:szCs w:val="21"/>
          <w:lang w:eastAsia="zh-CN"/>
        </w:rPr>
        <w:t>，</w:t>
      </w:r>
      <w:r>
        <w:rPr>
          <w:rFonts w:hint="eastAsia"/>
          <w:szCs w:val="21"/>
          <w:lang w:val="en-US" w:eastAsia="zh-CN"/>
        </w:rPr>
        <w:t>另，向含油A/B系列生化池缺氧段每班次手动投加两包葡萄糖，</w:t>
      </w:r>
      <w:r>
        <w:rPr>
          <w:rFonts w:hint="eastAsia"/>
          <w:szCs w:val="21"/>
        </w:rPr>
        <w:t>以提高生化进水污泥负荷</w:t>
      </w:r>
      <w:r>
        <w:rPr>
          <w:rFonts w:hint="eastAsia"/>
          <w:szCs w:val="21"/>
          <w:lang w:eastAsia="zh-CN"/>
        </w:rPr>
        <w:t>。</w:t>
      </w:r>
    </w:p>
    <w:p>
      <w:pPr>
        <w:ind w:firstLine="420" w:firstLineChars="200"/>
        <w:rPr>
          <w:szCs w:val="21"/>
        </w:rPr>
      </w:pPr>
      <w:r>
        <w:rPr>
          <w:rFonts w:hint="eastAsia"/>
          <w:szCs w:val="21"/>
        </w:rPr>
        <w:t xml:space="preserve">2. </w:t>
      </w:r>
      <w:r>
        <w:rPr>
          <w:rFonts w:hint="eastAsia"/>
          <w:szCs w:val="21"/>
          <w:lang w:val="en-US" w:eastAsia="zh-CN"/>
        </w:rPr>
        <w:t>适当减少</w:t>
      </w:r>
      <w:r>
        <w:rPr>
          <w:rFonts w:hint="eastAsia"/>
          <w:szCs w:val="21"/>
        </w:rPr>
        <w:t>排泥量</w:t>
      </w:r>
      <w:r>
        <w:rPr>
          <w:rFonts w:hint="eastAsia"/>
          <w:szCs w:val="21"/>
          <w:lang w:val="en-US" w:eastAsia="zh-CN"/>
        </w:rPr>
        <w:t>的同时，每天间接将含盐生化池活性污泥30t倒至含油生化池，维持生化系统污泥处于较高浓度，具有一定抗冲击能力</w:t>
      </w:r>
      <w:r>
        <w:rPr>
          <w:rFonts w:hint="eastAsia"/>
          <w:szCs w:val="21"/>
        </w:rPr>
        <w:t>。</w:t>
      </w:r>
    </w:p>
    <w:p>
      <w:pPr>
        <w:ind w:firstLine="420" w:firstLineChars="200"/>
        <w:rPr>
          <w:rFonts w:hint="eastAsia"/>
          <w:szCs w:val="21"/>
        </w:rPr>
      </w:pPr>
      <w:r>
        <w:rPr>
          <w:rFonts w:hint="eastAsia"/>
          <w:szCs w:val="21"/>
        </w:rPr>
        <w:t>3. 含油含盐鼓风曝气量均控制在3600-4000Nm³/h，防止活性污泥的过氧化出现大量解絮现象。</w:t>
      </w:r>
      <w:bookmarkStart w:id="90" w:name="_Toc944"/>
      <w:bookmarkStart w:id="91" w:name="_Toc10133"/>
    </w:p>
    <w:p>
      <w:pPr>
        <w:ind w:firstLine="420" w:firstLineChars="200"/>
        <w:rPr>
          <w:rFonts w:hint="eastAsia"/>
          <w:szCs w:val="21"/>
          <w:lang w:val="en-US" w:eastAsia="zh-CN"/>
        </w:rPr>
      </w:pPr>
      <w:r>
        <w:rPr>
          <w:rFonts w:hint="eastAsia"/>
          <w:szCs w:val="21"/>
          <w:lang w:val="en-US" w:eastAsia="zh-CN"/>
        </w:rPr>
        <w:t>4.因含油A系列出水硝酸盐氮较高，判断其反硝化速率较慢，将含油A系列硝化液回流量由150m³/h提至190m³/h，稀释生化进水硫化物浓度，减缓硫化物对硝化细菌的影响，同时满足反硝化反应所需硝酸盐浓度。</w:t>
      </w:r>
    </w:p>
    <w:p>
      <w:pPr>
        <w:ind w:firstLine="420" w:firstLineChars="200"/>
        <w:rPr>
          <w:rFonts w:hint="default"/>
          <w:szCs w:val="21"/>
          <w:lang w:val="en-US" w:eastAsia="zh-CN"/>
        </w:rPr>
      </w:pPr>
      <w:r>
        <w:rPr>
          <w:rFonts w:hint="eastAsia"/>
          <w:szCs w:val="21"/>
          <w:lang w:val="en-US" w:eastAsia="zh-CN"/>
        </w:rPr>
        <w:t>5.因含油B系列出水硝酸盐氮较低，但碱度下降幅度较大，判断其硝化反应未受硫化物影响，但较低的碱度导致硝化速率下降，引起出水氨氮波动，故将含油B系列硝化液回流量由150m³/h降至120m³/h，延长生化池停留时间，同时提高液碱投加量，维持总碱度80-120mg/L。</w:t>
      </w:r>
    </w:p>
    <w:p>
      <w:pPr>
        <w:pStyle w:val="3"/>
        <w:spacing w:line="360" w:lineRule="exact"/>
        <w:rPr>
          <w:rFonts w:hint="eastAsia" w:ascii="Arial" w:hAnsi="Arial" w:cs="Arial"/>
        </w:rPr>
      </w:pPr>
    </w:p>
    <w:p>
      <w:pPr>
        <w:pStyle w:val="3"/>
        <w:spacing w:line="360" w:lineRule="exact"/>
        <w:rPr>
          <w:rFonts w:hint="eastAsia"/>
        </w:rPr>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hint="eastAsia" w:ascii="Arial" w:hAnsi="Arial" w:cs="Arial"/>
        </w:rPr>
      </w:pPr>
      <w:bookmarkStart w:id="92" w:name="_Toc3079"/>
      <w:bookmarkStart w:id="93" w:name="_Toc8238"/>
    </w:p>
    <w:p>
      <w:pPr>
        <w:pStyle w:val="3"/>
        <w:spacing w:line="360" w:lineRule="exact"/>
        <w:rPr>
          <w:rFonts w:hint="eastAsia"/>
        </w:rPr>
      </w:pPr>
      <w:r>
        <w:rPr>
          <w:rFonts w:hint="eastAsia" w:ascii="Arial" w:hAnsi="Arial" w:cs="Arial"/>
        </w:rPr>
        <w:t>9.3</w:t>
      </w:r>
      <w:r>
        <w:rPr>
          <w:rFonts w:hint="eastAsia"/>
        </w:rPr>
        <w:t xml:space="preserve"> 生产瓶颈、热点问题的技术分析</w:t>
      </w:r>
      <w:bookmarkEnd w:id="92"/>
      <w:bookmarkEnd w:id="93"/>
    </w:p>
    <w:p/>
    <w:p>
      <w:pPr>
        <w:numPr>
          <w:ilvl w:val="0"/>
          <w:numId w:val="4"/>
        </w:numPr>
      </w:pPr>
      <w:r>
        <w:rPr>
          <w:rFonts w:hint="eastAsia"/>
        </w:rPr>
        <w:t>本月含油、含盐生化进水COD持续偏低：</w:t>
      </w:r>
      <w:r>
        <w:rPr>
          <w:rFonts w:hint="eastAsia"/>
          <w:szCs w:val="21"/>
        </w:rPr>
        <w:t>含油污水生化进水COD最高</w:t>
      </w:r>
      <w:r>
        <w:rPr>
          <w:rFonts w:hint="eastAsia"/>
          <w:szCs w:val="21"/>
          <w:lang w:val="en-US" w:eastAsia="zh-CN"/>
        </w:rPr>
        <w:t>351</w:t>
      </w:r>
      <w:r>
        <w:rPr>
          <w:rFonts w:hint="eastAsia"/>
          <w:szCs w:val="21"/>
        </w:rPr>
        <w:t>mg/L，最低</w:t>
      </w:r>
      <w:r>
        <w:rPr>
          <w:rFonts w:hint="eastAsia"/>
          <w:szCs w:val="21"/>
          <w:lang w:val="en-US" w:eastAsia="zh-CN"/>
        </w:rPr>
        <w:t>124</w:t>
      </w:r>
      <w:r>
        <w:rPr>
          <w:rFonts w:hint="eastAsia"/>
          <w:szCs w:val="21"/>
        </w:rPr>
        <w:t>mg/L，平均</w:t>
      </w:r>
      <w:r>
        <w:rPr>
          <w:rFonts w:hint="eastAsia"/>
          <w:szCs w:val="21"/>
          <w:lang w:val="en-US" w:eastAsia="zh-CN"/>
        </w:rPr>
        <w:t>209</w:t>
      </w:r>
      <w:r>
        <w:rPr>
          <w:rFonts w:hint="eastAsia"/>
          <w:szCs w:val="21"/>
        </w:rPr>
        <w:t>mg/L</w:t>
      </w:r>
      <w:r>
        <w:rPr>
          <w:rFonts w:hint="eastAsia"/>
          <w:szCs w:val="21"/>
          <w:lang w:eastAsia="zh-CN"/>
        </w:rPr>
        <w:t>；</w:t>
      </w:r>
      <w:r>
        <w:rPr>
          <w:rFonts w:hint="eastAsia"/>
          <w:szCs w:val="21"/>
        </w:rPr>
        <w:t>含盐污水生化进水COD最高</w:t>
      </w:r>
      <w:r>
        <w:rPr>
          <w:rFonts w:hint="eastAsia"/>
          <w:szCs w:val="21"/>
          <w:lang w:val="en-US" w:eastAsia="zh-CN"/>
        </w:rPr>
        <w:t>517</w:t>
      </w:r>
      <w:r>
        <w:rPr>
          <w:rFonts w:hint="eastAsia"/>
          <w:szCs w:val="21"/>
        </w:rPr>
        <w:t>mg/L，最低1</w:t>
      </w:r>
      <w:r>
        <w:rPr>
          <w:rFonts w:hint="eastAsia"/>
          <w:szCs w:val="21"/>
          <w:lang w:val="en-US" w:eastAsia="zh-CN"/>
        </w:rPr>
        <w:t>10</w:t>
      </w:r>
      <w:r>
        <w:rPr>
          <w:rFonts w:hint="eastAsia"/>
          <w:szCs w:val="21"/>
        </w:rPr>
        <w:t>mg/L，平均</w:t>
      </w:r>
      <w:r>
        <w:rPr>
          <w:rFonts w:hint="eastAsia"/>
          <w:szCs w:val="21"/>
          <w:lang w:val="en-US" w:eastAsia="zh-CN"/>
        </w:rPr>
        <w:t>243</w:t>
      </w:r>
      <w:r>
        <w:rPr>
          <w:rFonts w:hint="eastAsia"/>
          <w:szCs w:val="21"/>
        </w:rPr>
        <w:t>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4"/>
        </w:numPr>
        <w:rPr>
          <w:szCs w:val="21"/>
        </w:rPr>
      </w:pPr>
      <w:r>
        <w:rPr>
          <w:rFonts w:hint="eastAsia"/>
        </w:rPr>
        <w:t>港储4208、4102罐区、炼油三部芳烃含油污水、炼油四部火炬气含油污水指标高COD、氨氮、环丁砜、硫化物，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4"/>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4"/>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hint="eastAsia" w:ascii="Arial" w:hAnsi="Arial" w:eastAsia="宋体" w:cs="Arial"/>
          <w:bCs w:val="0"/>
          <w:kern w:val="2"/>
          <w:szCs w:val="20"/>
        </w:rPr>
      </w:pPr>
      <w:bookmarkStart w:id="94" w:name="_Toc2062"/>
      <w:bookmarkStart w:id="95" w:name="_Toc2671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hint="eastAsia" w:ascii="Arial" w:hAnsi="Arial" w:cs="Arial"/>
        </w:rPr>
      </w:pPr>
      <w:bookmarkStart w:id="96" w:name="_Toc34415503"/>
      <w:bookmarkStart w:id="97" w:name="_Toc5455"/>
      <w:bookmarkStart w:id="98" w:name="_Toc18824"/>
    </w:p>
    <w:p>
      <w:pPr>
        <w:pStyle w:val="3"/>
        <w:spacing w:line="360" w:lineRule="exact"/>
      </w:pPr>
      <w:r>
        <w:rPr>
          <w:rFonts w:hint="eastAsia" w:ascii="Arial" w:hAnsi="Arial" w:cs="Arial"/>
        </w:rPr>
        <w:t>10.1</w:t>
      </w:r>
      <w:r>
        <w:rPr>
          <w:rFonts w:hint="eastAsia"/>
        </w:rPr>
        <w:t xml:space="preserve"> </w:t>
      </w:r>
      <w:bookmarkEnd w:id="96"/>
      <w:bookmarkStart w:id="99" w:name="_Toc34415504"/>
      <w:bookmarkStart w:id="100" w:name="_Toc42346733"/>
      <w:bookmarkStart w:id="101" w:name="_Toc47529347"/>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bl>
    <w:p>
      <w:pPr>
        <w:pStyle w:val="3"/>
        <w:spacing w:line="360" w:lineRule="exact"/>
        <w:rPr>
          <w:rFonts w:hint="eastAsia" w:ascii="Arial" w:hAnsi="Arial" w:cs="Arial"/>
        </w:rPr>
      </w:pPr>
      <w:bookmarkStart w:id="102" w:name="_Toc26650"/>
      <w:bookmarkStart w:id="103" w:name="_Toc18923"/>
    </w:p>
    <w:p>
      <w:pPr>
        <w:pStyle w:val="3"/>
        <w:spacing w:line="360" w:lineRule="exact"/>
        <w:rPr>
          <w:rFonts w:hint="eastAsia"/>
        </w:rPr>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hint="eastAsia" w:ascii="Arial" w:hAnsi="Arial" w:eastAsia="宋体" w:cs="Arial"/>
          <w:bCs w:val="0"/>
          <w:kern w:val="2"/>
          <w:szCs w:val="20"/>
        </w:rPr>
      </w:pPr>
      <w:bookmarkStart w:id="104" w:name="_Toc25727"/>
      <w:bookmarkStart w:id="105" w:name="_Toc2505"/>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Pr>
        <w:rPr>
          <w:rFonts w:hint="eastAsia"/>
        </w:rPr>
      </w:pPr>
    </w:p>
    <w:p>
      <w:pPr>
        <w:rPr>
          <w:szCs w:val="21"/>
        </w:rPr>
      </w:pPr>
      <w:r>
        <w:rPr>
          <w:rFonts w:hint="eastAsia"/>
        </w:rPr>
        <w:t>本月</w:t>
      </w:r>
      <w:r>
        <w:rPr>
          <w:rFonts w:hint="eastAsia"/>
          <w:szCs w:val="21"/>
        </w:rPr>
        <w:t>各装置生产无波动情况。</w:t>
      </w:r>
    </w:p>
    <w:p>
      <w:pPr>
        <w:pStyle w:val="2"/>
        <w:spacing w:before="0" w:beforeLines="0" w:after="0"/>
        <w:rPr>
          <w:rFonts w:hint="eastAsia" w:ascii="Arial" w:hAnsi="Arial" w:eastAsia="宋体" w:cs="Arial"/>
          <w:bCs w:val="0"/>
          <w:kern w:val="2"/>
          <w:szCs w:val="20"/>
        </w:rPr>
      </w:pPr>
      <w:bookmarkStart w:id="106" w:name="_Toc16655"/>
      <w:bookmarkStart w:id="107" w:name="_Toc9138"/>
    </w:p>
    <w:p>
      <w:pPr>
        <w:pStyle w:val="2"/>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3"/>
        <w:spacing w:line="360" w:lineRule="exact"/>
        <w:rPr>
          <w:rFonts w:hint="eastAsia" w:ascii="Arial" w:hAnsi="Arial" w:cs="Arial"/>
        </w:rPr>
      </w:pPr>
      <w:bookmarkStart w:id="108" w:name="_Toc18641"/>
      <w:bookmarkStart w:id="109" w:name="_Toc20710"/>
    </w:p>
    <w:p>
      <w:pPr>
        <w:pStyle w:val="3"/>
        <w:spacing w:line="360" w:lineRule="exact"/>
        <w:rPr>
          <w:rFonts w:hint="eastAsia"/>
        </w:rPr>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（1）含油事故罐T1002B内为高浓度含油污水，环丁砜最高</w:t>
      </w:r>
      <w:r>
        <w:rPr>
          <w:rFonts w:hint="eastAsia"/>
          <w:szCs w:val="21"/>
          <w:lang w:val="en-US" w:eastAsia="zh-CN"/>
        </w:rPr>
        <w:t>32.45</w:t>
      </w:r>
      <w:r>
        <w:rPr>
          <w:rFonts w:hint="eastAsia"/>
          <w:szCs w:val="21"/>
        </w:rPr>
        <w:t>mg/L，</w:t>
      </w:r>
      <w:r>
        <w:rPr>
          <w:rFonts w:hint="eastAsia"/>
          <w:szCs w:val="21"/>
          <w:lang w:val="en-US" w:eastAsia="zh-CN"/>
        </w:rPr>
        <w:t>硫化物最高104.4mg/L，</w:t>
      </w:r>
      <w:r>
        <w:rPr>
          <w:rFonts w:hint="eastAsia"/>
          <w:szCs w:val="21"/>
        </w:rPr>
        <w:t>当前通过T1002A利用含油污水稀释后，送到调节罐进行处理，控制调节罐出水环丁砜浓度小于30mg/L</w:t>
      </w:r>
      <w:r>
        <w:rPr>
          <w:rFonts w:hint="eastAsia"/>
          <w:szCs w:val="21"/>
          <w:lang w:eastAsia="zh-CN"/>
        </w:rPr>
        <w:t>，</w:t>
      </w:r>
      <w:r>
        <w:rPr>
          <w:rFonts w:hint="eastAsia"/>
          <w:szCs w:val="21"/>
          <w:lang w:val="en-US" w:eastAsia="zh-CN"/>
        </w:rPr>
        <w:t>硫化物小于20mg/L。</w:t>
      </w:r>
    </w:p>
    <w:p>
      <w:pPr>
        <w:rPr>
          <w:szCs w:val="21"/>
        </w:rPr>
      </w:pPr>
      <w:r>
        <w:rPr>
          <w:rFonts w:hint="eastAsia"/>
          <w:szCs w:val="21"/>
        </w:rPr>
        <w:t>（2）含盐事故罐T1004</w:t>
      </w:r>
      <w:r>
        <w:rPr>
          <w:rFonts w:hint="eastAsia"/>
          <w:szCs w:val="21"/>
          <w:lang w:val="en-US" w:eastAsia="zh-CN"/>
        </w:rPr>
        <w:t>B</w:t>
      </w:r>
      <w:r>
        <w:rPr>
          <w:rFonts w:hint="eastAsia"/>
          <w:szCs w:val="21"/>
        </w:rPr>
        <w:t>内为高浓度含盐污水，氯离子最高</w:t>
      </w:r>
      <w:r>
        <w:rPr>
          <w:rFonts w:hint="eastAsia"/>
          <w:szCs w:val="21"/>
          <w:lang w:val="en-US" w:eastAsia="zh-CN"/>
        </w:rPr>
        <w:t>2864.9</w:t>
      </w:r>
      <w:r>
        <w:rPr>
          <w:rFonts w:hint="eastAsia"/>
          <w:szCs w:val="21"/>
        </w:rPr>
        <w:t>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hint="eastAsia" w:ascii="Arial" w:hAnsi="Arial" w:cs="Arial"/>
        </w:rPr>
      </w:pPr>
      <w:bookmarkStart w:id="110" w:name="_Toc12863"/>
      <w:bookmarkStart w:id="111" w:name="_Toc12565"/>
    </w:p>
    <w:p>
      <w:pPr>
        <w:pStyle w:val="3"/>
        <w:spacing w:line="360" w:lineRule="exact"/>
      </w:pPr>
      <w:r>
        <w:rPr>
          <w:rFonts w:hint="eastAsia" w:ascii="Arial" w:hAnsi="Arial" w:cs="Arial"/>
        </w:rPr>
        <w:t xml:space="preserve">12.2 </w:t>
      </w:r>
      <w:r>
        <w:rPr>
          <w:rFonts w:hint="eastAsia"/>
        </w:rPr>
        <w:t>相关设施运行情况</w:t>
      </w:r>
      <w:bookmarkEnd w:id="110"/>
      <w:bookmarkEnd w:id="111"/>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hint="eastAsia" w:ascii="Arial" w:hAnsi="Arial" w:cs="Arial"/>
        </w:rPr>
      </w:pPr>
      <w:bookmarkStart w:id="112" w:name="_Toc8341"/>
      <w:bookmarkStart w:id="113" w:name="_Toc6022"/>
    </w:p>
    <w:p>
      <w:pPr>
        <w:pStyle w:val="3"/>
        <w:spacing w:line="360" w:lineRule="exact"/>
        <w:rPr>
          <w:rFonts w:hint="eastAsia"/>
        </w:rPr>
      </w:pPr>
      <w:r>
        <w:rPr>
          <w:rFonts w:hint="eastAsia" w:ascii="Arial" w:hAnsi="Arial" w:cs="Arial"/>
        </w:rPr>
        <w:t>12.3</w:t>
      </w:r>
      <w:r>
        <w:rPr>
          <w:rFonts w:hint="eastAsia"/>
        </w:rPr>
        <w:t xml:space="preserve"> 腐蚀监测点分析结果</w:t>
      </w:r>
      <w:bookmarkEnd w:id="112"/>
      <w:bookmarkEnd w:id="113"/>
    </w:p>
    <w:p>
      <w:pPr>
        <w:rPr>
          <w:rFonts w:hint="eastAsia"/>
        </w:rPr>
      </w:pPr>
    </w:p>
    <w:p>
      <w:pPr>
        <w:rPr>
          <w:rFonts w:hint="eastAsia"/>
        </w:rPr>
      </w:pPr>
    </w:p>
    <w:p>
      <w:pPr>
        <w:spacing w:line="440" w:lineRule="exact"/>
        <w:jc w:val="center"/>
        <w:rPr>
          <w:rFonts w:ascii="黑体" w:hAnsi="黑体" w:eastAsia="黑体" w:cs="黑体"/>
          <w:szCs w:val="21"/>
        </w:rPr>
      </w:pPr>
      <w:bookmarkStart w:id="114" w:name="_Toc22511"/>
      <w:bookmarkStart w:id="115" w:name="_Toc2969"/>
      <w:r>
        <w:rPr>
          <w:rFonts w:hint="eastAsia" w:ascii="黑体" w:hAnsi="黑体" w:eastAsia="黑体" w:cs="黑体"/>
          <w:szCs w:val="21"/>
        </w:rPr>
        <w:t xml:space="preserve">表1 </w:t>
      </w:r>
      <w:r>
        <w:rPr>
          <w:rFonts w:hint="eastAsia" w:ascii="黑体" w:hAnsi="黑体" w:eastAsia="黑体" w:cs="黑体"/>
          <w:szCs w:val="21"/>
          <w:lang w:eastAsia="zh-CN"/>
        </w:rPr>
        <w:t>5月</w:t>
      </w:r>
      <w:r>
        <w:rPr>
          <w:rFonts w:hint="eastAsia" w:ascii="黑体" w:hAnsi="黑体" w:eastAsia="黑体" w:cs="黑体"/>
          <w:szCs w:val="21"/>
        </w:rPr>
        <w:t>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spacing w:line="440" w:lineRule="exact"/>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565"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 w:val="22"/>
                <w:szCs w:val="22"/>
                <w:lang w:bidi="ar"/>
              </w:rPr>
            </w:pPr>
            <w:r>
              <w:rPr>
                <w:rFonts w:ascii="Arial" w:hAnsi="Arial" w:cs="Arial"/>
                <w:kern w:val="0"/>
                <w:sz w:val="22"/>
                <w:szCs w:val="22"/>
                <w:highlight w:val="none"/>
                <w:lang w:bidi="ar"/>
              </w:rPr>
              <w:t>0</w:t>
            </w:r>
            <w:r>
              <w:rPr>
                <w:rFonts w:hint="eastAsia" w:ascii="Arial" w:hAnsi="Arial" w:cs="Arial"/>
                <w:kern w:val="0"/>
                <w:sz w:val="22"/>
                <w:szCs w:val="22"/>
                <w:highlight w:val="none"/>
                <w:lang w:val="en-US" w:eastAsia="zh-CN" w:bidi="ar"/>
              </w:rPr>
              <w:t>5</w:t>
            </w:r>
            <w:r>
              <w:rPr>
                <w:rFonts w:ascii="Arial" w:hAnsi="Arial" w:cs="Arial"/>
                <w:kern w:val="0"/>
                <w:sz w:val="22"/>
                <w:szCs w:val="22"/>
                <w:highlight w:val="none"/>
                <w:lang w:bidi="ar"/>
              </w:rPr>
              <w:t>.01-0</w:t>
            </w:r>
            <w:r>
              <w:rPr>
                <w:rFonts w:hint="eastAsia" w:ascii="Arial" w:hAnsi="Arial" w:cs="Arial"/>
                <w:kern w:val="0"/>
                <w:sz w:val="22"/>
                <w:szCs w:val="22"/>
                <w:highlight w:val="none"/>
                <w:lang w:val="en-US" w:eastAsia="zh-CN" w:bidi="ar"/>
              </w:rPr>
              <w:t>5</w:t>
            </w:r>
            <w:r>
              <w:rPr>
                <w:rFonts w:ascii="Arial" w:hAnsi="Arial" w:cs="Arial"/>
                <w:kern w:val="0"/>
                <w:sz w:val="22"/>
                <w:szCs w:val="22"/>
                <w:highlight w:val="none"/>
                <w:lang w:bidi="ar"/>
              </w:rPr>
              <w:t>.</w:t>
            </w:r>
            <w:r>
              <w:rPr>
                <w:rFonts w:hint="eastAsia" w:ascii="Arial" w:hAnsi="Arial" w:cs="Arial"/>
                <w:kern w:val="0"/>
                <w:sz w:val="22"/>
                <w:szCs w:val="22"/>
                <w:highlight w:val="none"/>
                <w:lang w:val="en-US" w:eastAsia="zh-CN" w:bidi="ar"/>
              </w:rPr>
              <w:t>31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szCs w:val="21"/>
              </w:rPr>
            </w:pPr>
            <w:r>
              <w:rPr>
                <w:rFonts w:ascii="Arial" w:hAnsi="Arial" w:cs="Arial"/>
                <w:szCs w:val="21"/>
                <w:highlight w:val="none"/>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ascii="Arial" w:hAnsi="Arial" w:cs="Arial"/>
                <w:szCs w:val="21"/>
                <w:highlight w:val="none"/>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hint="eastAsia" w:ascii="Arial" w:hAnsi="Arial" w:cs="Arial"/>
                <w:szCs w:val="21"/>
                <w:highlight w:val="none"/>
              </w:rPr>
              <w:t>8.8</w:t>
            </w:r>
            <w:r>
              <w:rPr>
                <w:rFonts w:hint="eastAsia" w:ascii="Arial" w:hAnsi="Arial" w:cs="Arial"/>
                <w:szCs w:val="21"/>
                <w:highlight w:val="none"/>
                <w:lang w:val="en-US" w:eastAsia="zh-CN"/>
              </w:rPr>
              <w:t>8</w:t>
            </w:r>
          </w:p>
        </w:tc>
      </w:tr>
      <w:tr>
        <w:tblPrEx>
          <w:tblCellMar>
            <w:top w:w="0" w:type="dxa"/>
            <w:left w:w="108" w:type="dxa"/>
            <w:bottom w:w="0" w:type="dxa"/>
            <w:right w:w="108" w:type="dxa"/>
          </w:tblCellMar>
        </w:tblPrEx>
        <w:trPr>
          <w:trHeight w:val="565"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ascii="Arial" w:hAnsi="Arial" w:cs="Arial"/>
                <w:szCs w:val="21"/>
                <w:highlight w:val="none"/>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ascii="Arial" w:hAnsi="Arial" w:cs="Arial"/>
                <w:szCs w:val="21"/>
                <w:highlight w:val="none"/>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hint="eastAsia" w:ascii="Arial" w:hAnsi="Arial" w:cs="Arial"/>
                <w:szCs w:val="21"/>
                <w:highlight w:val="none"/>
                <w:lang w:val="en-US" w:eastAsia="zh-CN"/>
              </w:rPr>
              <w:t>274</w:t>
            </w:r>
          </w:p>
        </w:tc>
      </w:tr>
      <w:tr>
        <w:trPr>
          <w:trHeight w:val="565" w:hRule="atLeast"/>
          <w:jc w:val="center"/>
        </w:trPr>
        <w:tc>
          <w:tcPr>
            <w:tcW w:w="2143" w:type="dxa"/>
            <w:vMerge w:val="continue"/>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szCs w:val="21"/>
              </w:rPr>
            </w:pPr>
          </w:p>
        </w:tc>
        <w:tc>
          <w:tcPr>
            <w:tcW w:w="142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440" w:lineRule="exact"/>
              <w:jc w:val="center"/>
              <w:rPr>
                <w:szCs w:val="21"/>
              </w:rPr>
            </w:pPr>
            <w:r>
              <w:rPr>
                <w:rFonts w:ascii="Arial" w:hAnsi="Arial" w:cs="Arial"/>
                <w:szCs w:val="21"/>
                <w:highlight w:val="none"/>
              </w:rPr>
              <w:t>碳钢挂片</w:t>
            </w:r>
          </w:p>
        </w:tc>
        <w:tc>
          <w:tcPr>
            <w:tcW w:w="165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440" w:lineRule="exact"/>
              <w:jc w:val="center"/>
              <w:rPr>
                <w:szCs w:val="21"/>
              </w:rPr>
            </w:pPr>
            <w:r>
              <w:rPr>
                <w:rFonts w:ascii="Arial" w:hAnsi="Arial" w:cs="Arial"/>
                <w:szCs w:val="21"/>
                <w:highlight w:val="none"/>
              </w:rPr>
              <w:t>≤0.075mm/a</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ascii="Arial" w:hAnsi="Arial" w:cs="Arial"/>
                <w:szCs w:val="21"/>
                <w:highlight w:val="none"/>
              </w:rPr>
              <w:t>编号：MS</w:t>
            </w:r>
            <w:r>
              <w:rPr>
                <w:rFonts w:hint="eastAsia" w:ascii="Arial" w:hAnsi="Arial" w:cs="Arial"/>
                <w:szCs w:val="21"/>
                <w:highlight w:val="none"/>
                <w:lang w:val="en-US" w:eastAsia="zh-CN"/>
              </w:rPr>
              <w:t>147</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spacing w:after="0" w:line="440" w:lineRule="exact"/>
              <w:jc w:val="center"/>
              <w:rPr>
                <w:szCs w:val="21"/>
              </w:rPr>
            </w:pPr>
            <w:r>
              <w:rPr>
                <w:rFonts w:hint="default" w:ascii="Arial" w:hAnsi="Arial" w:eastAsia="宋体" w:cs="Arial"/>
                <w:szCs w:val="21"/>
                <w:highlight w:val="none"/>
                <w:lang w:val="en-US" w:eastAsia="zh-CN"/>
              </w:rPr>
              <w:t>0.00</w:t>
            </w:r>
            <w:r>
              <w:rPr>
                <w:rFonts w:hint="eastAsia" w:ascii="Arial" w:hAnsi="Arial" w:eastAsia="宋体" w:cs="Arial"/>
                <w:szCs w:val="21"/>
                <w:highlight w:val="none"/>
                <w:lang w:val="en-US" w:eastAsia="zh-CN"/>
              </w:rPr>
              <w:t>3</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after="0"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eastAsia="宋体"/>
                <w:szCs w:val="21"/>
                <w:lang w:val="en-US" w:eastAsia="zh-CN"/>
              </w:rPr>
            </w:pPr>
            <w:r>
              <w:rPr>
                <w:rFonts w:ascii="Arial" w:hAnsi="Arial" w:cs="Arial"/>
                <w:szCs w:val="21"/>
                <w:highlight w:val="none"/>
              </w:rPr>
              <w:t>编号：MS</w:t>
            </w:r>
            <w:r>
              <w:rPr>
                <w:rFonts w:hint="eastAsia" w:ascii="Arial" w:hAnsi="Arial" w:cs="Arial"/>
                <w:szCs w:val="21"/>
                <w:highlight w:val="none"/>
                <w:lang w:val="en-US" w:eastAsia="zh-CN"/>
              </w:rPr>
              <w:t>148</w:t>
            </w:r>
          </w:p>
        </w:tc>
        <w:tc>
          <w:tcPr>
            <w:tcW w:w="1845"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hint="default" w:ascii="Arial" w:hAnsi="Arial" w:eastAsia="宋体" w:cs="Arial"/>
                <w:szCs w:val="21"/>
                <w:highlight w:val="none"/>
                <w:lang w:val="en-US" w:eastAsia="zh-CN"/>
              </w:rPr>
              <w:t>0.00</w:t>
            </w:r>
            <w:r>
              <w:rPr>
                <w:rFonts w:hint="eastAsia" w:ascii="Arial" w:hAnsi="Arial" w:cs="Arial"/>
                <w:szCs w:val="21"/>
                <w:highlight w:val="none"/>
                <w:lang w:val="en-US" w:eastAsia="zh-CN"/>
              </w:rPr>
              <w:t>4</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after="0"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ascii="Arial" w:hAnsi="Arial" w:cs="Arial"/>
                <w:szCs w:val="21"/>
                <w:highlight w:val="none"/>
              </w:rPr>
              <w:t>编号：MS</w:t>
            </w:r>
            <w:r>
              <w:rPr>
                <w:rFonts w:hint="eastAsia" w:ascii="Arial" w:hAnsi="Arial" w:cs="Arial"/>
                <w:szCs w:val="21"/>
                <w:highlight w:val="none"/>
                <w:lang w:val="en-US" w:eastAsia="zh-CN"/>
              </w:rPr>
              <w:t>149</w:t>
            </w:r>
          </w:p>
        </w:tc>
        <w:tc>
          <w:tcPr>
            <w:tcW w:w="1845"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hint="default" w:ascii="Arial" w:hAnsi="Arial" w:eastAsia="宋体" w:cs="Arial"/>
                <w:szCs w:val="21"/>
                <w:highlight w:val="none"/>
                <w:lang w:val="en-US" w:eastAsia="zh-CN"/>
              </w:rPr>
              <w:t>0.00</w:t>
            </w:r>
            <w:r>
              <w:rPr>
                <w:rFonts w:hint="eastAsia" w:ascii="Arial" w:hAnsi="Arial" w:cs="Arial"/>
                <w:szCs w:val="21"/>
                <w:highlight w:val="none"/>
                <w:lang w:val="en-US" w:eastAsia="zh-CN"/>
              </w:rPr>
              <w:t>6</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widowControl/>
              <w:jc w:val="center"/>
              <w:textAlignment w:val="center"/>
              <w:rPr>
                <w:szCs w:val="21"/>
              </w:rPr>
            </w:pPr>
          </w:p>
        </w:tc>
        <w:tc>
          <w:tcPr>
            <w:tcW w:w="1422" w:type="dxa"/>
            <w:vMerge w:val="restart"/>
            <w:tcBorders>
              <w:top w:val="nil"/>
              <w:left w:val="single" w:color="auto" w:sz="4" w:space="0"/>
              <w:bottom w:val="single" w:color="000000"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after="0" w:line="440" w:lineRule="exact"/>
              <w:jc w:val="center"/>
              <w:textAlignment w:val="auto"/>
              <w:rPr>
                <w:szCs w:val="21"/>
              </w:rPr>
            </w:pPr>
            <w:r>
              <w:rPr>
                <w:rFonts w:ascii="Arial" w:hAnsi="Arial" w:cs="Arial"/>
                <w:szCs w:val="21"/>
                <w:highlight w:val="none"/>
              </w:rPr>
              <w:t>铜</w:t>
            </w:r>
          </w:p>
        </w:tc>
        <w:tc>
          <w:tcPr>
            <w:tcW w:w="1650" w:type="dxa"/>
            <w:vMerge w:val="restart"/>
            <w:tcBorders>
              <w:top w:val="nil"/>
              <w:left w:val="single" w:color="auto" w:sz="4" w:space="0"/>
              <w:bottom w:val="single" w:color="000000"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after="0" w:line="440" w:lineRule="exact"/>
              <w:jc w:val="center"/>
              <w:textAlignment w:val="auto"/>
              <w:rPr>
                <w:szCs w:val="21"/>
              </w:rPr>
            </w:pPr>
            <w:r>
              <w:rPr>
                <w:rFonts w:ascii="Arial" w:hAnsi="Arial" w:cs="Arial"/>
                <w:szCs w:val="21"/>
                <w:highlight w:val="none"/>
              </w:rPr>
              <w:t>≤0.005mm/a</w:t>
            </w:r>
          </w:p>
        </w:tc>
        <w:tc>
          <w:tcPr>
            <w:tcW w:w="1770" w:type="dxa"/>
            <w:tcBorders>
              <w:top w:val="nil"/>
              <w:left w:val="nil"/>
              <w:bottom w:val="single" w:color="auto" w:sz="4" w:space="0"/>
              <w:right w:val="single" w:color="auto" w:sz="4" w:space="0"/>
            </w:tcBorders>
            <w:shd w:val="clear" w:color="auto" w:fill="auto"/>
            <w:noWrap/>
            <w:vAlign w:val="center"/>
          </w:tcPr>
          <w:p>
            <w:pPr>
              <w:keepNext/>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szCs w:val="21"/>
                <w:lang w:val="en-US"/>
              </w:rPr>
            </w:pPr>
            <w:r>
              <w:rPr>
                <w:rFonts w:ascii="Arial" w:hAnsi="Arial" w:cs="Arial"/>
                <w:szCs w:val="21"/>
                <w:highlight w:val="none"/>
              </w:rPr>
              <w:t>编号：CU</w:t>
            </w:r>
            <w:r>
              <w:rPr>
                <w:rFonts w:hint="eastAsia" w:ascii="Arial" w:hAnsi="Arial" w:cs="Arial"/>
                <w:szCs w:val="21"/>
                <w:highlight w:val="none"/>
                <w:lang w:val="en-US" w:eastAsia="zh-CN"/>
              </w:rPr>
              <w:t>395</w:t>
            </w:r>
          </w:p>
        </w:tc>
        <w:tc>
          <w:tcPr>
            <w:tcW w:w="1845" w:type="dxa"/>
            <w:tcBorders>
              <w:top w:val="nil"/>
              <w:left w:val="nil"/>
              <w:bottom w:val="single" w:color="auto" w:sz="4" w:space="0"/>
              <w:right w:val="single" w:color="auto" w:sz="4" w:space="0"/>
            </w:tcBorders>
            <w:shd w:val="clear" w:color="auto" w:fill="auto"/>
            <w:noWrap/>
            <w:vAlign w:val="center"/>
          </w:tcPr>
          <w:p>
            <w:pPr>
              <w:keepNext/>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szCs w:val="21"/>
                <w:lang w:val="en-US"/>
              </w:rPr>
            </w:pPr>
            <w:r>
              <w:rPr>
                <w:rFonts w:hint="default" w:ascii="Arial" w:hAnsi="Arial" w:eastAsia="宋体" w:cs="Arial"/>
                <w:szCs w:val="21"/>
                <w:highlight w:val="none"/>
                <w:lang w:val="en-US" w:eastAsia="zh-CN"/>
              </w:rPr>
              <w:t>0.00</w:t>
            </w:r>
            <w:r>
              <w:rPr>
                <w:rFonts w:hint="eastAsia" w:ascii="Arial" w:hAnsi="Arial" w:cs="Arial"/>
                <w:szCs w:val="21"/>
                <w:highlight w:val="none"/>
                <w:lang w:val="en-US" w:eastAsia="zh-CN"/>
              </w:rPr>
              <w:t>3</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spacing w:after="0"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vAlign w:val="center"/>
          </w:tcPr>
          <w:p>
            <w:pPr>
              <w:spacing w:after="0"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ascii="Arial" w:hAnsi="Arial" w:cs="Arial"/>
                <w:szCs w:val="21"/>
              </w:rPr>
              <w:t>编号：CU</w:t>
            </w:r>
            <w:r>
              <w:rPr>
                <w:rFonts w:hint="eastAsia" w:ascii="Arial" w:hAnsi="Arial" w:cs="Arial"/>
                <w:szCs w:val="21"/>
                <w:lang w:val="en-US" w:eastAsia="zh-CN"/>
              </w:rPr>
              <w:t>394</w:t>
            </w:r>
          </w:p>
        </w:tc>
        <w:tc>
          <w:tcPr>
            <w:tcW w:w="1845"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hint="default" w:ascii="Arial" w:hAnsi="Arial" w:eastAsia="宋体" w:cs="Arial"/>
                <w:szCs w:val="21"/>
                <w:highlight w:val="none"/>
                <w:lang w:val="en-US" w:eastAsia="zh-CN"/>
              </w:rPr>
              <w:t>0.00</w:t>
            </w:r>
            <w:r>
              <w:rPr>
                <w:rFonts w:hint="eastAsia" w:ascii="Arial" w:hAnsi="Arial" w:cs="Arial"/>
                <w:szCs w:val="21"/>
                <w:highlight w:val="none"/>
                <w:lang w:val="en-US" w:eastAsia="zh-CN"/>
              </w:rPr>
              <w:t>1</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shd w:val="clear" w:color="auto" w:fill="auto"/>
            <w:noWrap/>
            <w:vAlign w:val="center"/>
          </w:tcPr>
          <w:p>
            <w:pPr>
              <w:spacing w:after="0" w:line="440" w:lineRule="exact"/>
              <w:jc w:val="center"/>
              <w:rPr>
                <w:szCs w:val="21"/>
              </w:rPr>
            </w:pPr>
          </w:p>
        </w:tc>
        <w:tc>
          <w:tcPr>
            <w:tcW w:w="1422" w:type="dxa"/>
            <w:vMerge w:val="continue"/>
            <w:tcBorders>
              <w:top w:val="nil"/>
              <w:left w:val="single" w:color="auto" w:sz="4" w:space="0"/>
              <w:bottom w:val="single" w:color="000000" w:sz="4" w:space="0"/>
              <w:right w:val="single" w:color="auto" w:sz="4" w:space="0"/>
            </w:tcBorders>
            <w:shd w:val="clear" w:color="auto" w:fill="auto"/>
            <w:noWrap/>
            <w:vAlign w:val="center"/>
          </w:tcPr>
          <w:p>
            <w:pPr>
              <w:spacing w:after="0" w:line="440" w:lineRule="exact"/>
              <w:jc w:val="center"/>
              <w:rPr>
                <w:szCs w:val="21"/>
              </w:rPr>
            </w:pPr>
          </w:p>
        </w:tc>
        <w:tc>
          <w:tcPr>
            <w:tcW w:w="1650" w:type="dxa"/>
            <w:vMerge w:val="continue"/>
            <w:tcBorders>
              <w:top w:val="nil"/>
              <w:left w:val="single" w:color="auto" w:sz="4" w:space="0"/>
              <w:bottom w:val="single" w:color="000000" w:sz="4" w:space="0"/>
              <w:right w:val="single" w:color="auto" w:sz="4" w:space="0"/>
            </w:tcBorders>
            <w:shd w:val="clear" w:color="auto" w:fill="auto"/>
            <w:noWrap/>
            <w:vAlign w:val="center"/>
          </w:tcPr>
          <w:p>
            <w:pPr>
              <w:spacing w:after="0" w:line="440" w:lineRule="exact"/>
              <w:jc w:val="center"/>
              <w:rPr>
                <w:szCs w:val="21"/>
              </w:rPr>
            </w:pPr>
          </w:p>
        </w:tc>
        <w:tc>
          <w:tcPr>
            <w:tcW w:w="1770"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ascii="Arial" w:hAnsi="Arial" w:cs="Arial"/>
                <w:szCs w:val="21"/>
              </w:rPr>
              <w:t>编号：CU</w:t>
            </w:r>
            <w:r>
              <w:rPr>
                <w:rFonts w:hint="eastAsia" w:ascii="Arial" w:hAnsi="Arial" w:cs="Arial"/>
                <w:szCs w:val="21"/>
                <w:lang w:val="en-US" w:eastAsia="zh-CN"/>
              </w:rPr>
              <w:t>393</w:t>
            </w:r>
          </w:p>
        </w:tc>
        <w:tc>
          <w:tcPr>
            <w:tcW w:w="1845" w:type="dxa"/>
            <w:tcBorders>
              <w:top w:val="nil"/>
              <w:left w:val="nil"/>
              <w:bottom w:val="single" w:color="auto" w:sz="4" w:space="0"/>
              <w:right w:val="single" w:color="auto" w:sz="4" w:space="0"/>
            </w:tcBorders>
            <w:shd w:val="clear" w:color="auto" w:fill="auto"/>
            <w:noWrap/>
            <w:vAlign w:val="center"/>
          </w:tcPr>
          <w:p>
            <w:pPr>
              <w:spacing w:after="0" w:line="440" w:lineRule="exact"/>
              <w:jc w:val="center"/>
              <w:rPr>
                <w:szCs w:val="21"/>
              </w:rPr>
            </w:pPr>
            <w:r>
              <w:rPr>
                <w:rFonts w:hint="default" w:ascii="Arial" w:hAnsi="Arial" w:eastAsia="宋体" w:cs="Arial"/>
                <w:szCs w:val="21"/>
                <w:highlight w:val="none"/>
                <w:lang w:val="en-US" w:eastAsia="zh-CN"/>
              </w:rPr>
              <w:t>0.001</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right w:val="single" w:color="auto" w:sz="4" w:space="0"/>
            </w:tcBorders>
            <w:vAlign w:val="center"/>
          </w:tcPr>
          <w:p>
            <w:pPr>
              <w:widowControl/>
              <w:jc w:val="center"/>
              <w:textAlignment w:val="center"/>
              <w:rPr>
                <w:szCs w:val="21"/>
              </w:rPr>
            </w:pPr>
          </w:p>
        </w:tc>
        <w:tc>
          <w:tcPr>
            <w:tcW w:w="1422" w:type="dxa"/>
            <w:vMerge w:val="restart"/>
            <w:tcBorders>
              <w:top w:val="nil"/>
              <w:left w:val="single" w:color="auto" w:sz="4" w:space="0"/>
              <w:right w:val="single" w:color="auto" w:sz="4" w:space="0"/>
            </w:tcBorders>
            <w:vAlign w:val="center"/>
          </w:tcPr>
          <w:p>
            <w:pPr>
              <w:spacing w:after="0" w:line="440" w:lineRule="exact"/>
              <w:jc w:val="center"/>
              <w:rPr>
                <w:szCs w:val="21"/>
              </w:rPr>
            </w:pPr>
            <w:r>
              <w:rPr>
                <w:rFonts w:ascii="Arial" w:hAnsi="Arial" w:cs="Arial"/>
                <w:szCs w:val="21"/>
              </w:rPr>
              <w:t>不锈钢</w:t>
            </w:r>
          </w:p>
        </w:tc>
        <w:tc>
          <w:tcPr>
            <w:tcW w:w="1650" w:type="dxa"/>
            <w:vMerge w:val="restart"/>
            <w:tcBorders>
              <w:top w:val="nil"/>
              <w:left w:val="single" w:color="auto" w:sz="4" w:space="0"/>
              <w:right w:val="single" w:color="auto" w:sz="4" w:space="0"/>
            </w:tcBorders>
            <w:vAlign w:val="center"/>
          </w:tcPr>
          <w:p>
            <w:pPr>
              <w:spacing w:after="0" w:line="440" w:lineRule="exact"/>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rFonts w:hint="default"/>
                <w:szCs w:val="21"/>
                <w:lang w:val="en-US"/>
              </w:rPr>
            </w:pPr>
            <w:r>
              <w:rPr>
                <w:rFonts w:ascii="Arial" w:hAnsi="Arial" w:cs="Arial"/>
                <w:szCs w:val="21"/>
              </w:rPr>
              <w:t>编号：SS</w:t>
            </w:r>
            <w:r>
              <w:rPr>
                <w:rFonts w:hint="eastAsia" w:ascii="Arial" w:hAnsi="Arial" w:cs="Arial"/>
                <w:szCs w:val="21"/>
                <w:lang w:val="en-US" w:eastAsia="zh-CN"/>
              </w:rPr>
              <w:t>165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szCs w:val="21"/>
              </w:rPr>
            </w:pPr>
            <w:r>
              <w:rPr>
                <w:rFonts w:hint="default" w:ascii="Arial" w:hAnsi="Arial" w:eastAsia="宋体" w:cs="Arial"/>
                <w:szCs w:val="21"/>
                <w:highlight w:val="none"/>
                <w:lang w:val="en-US" w:eastAsia="zh-CN"/>
              </w:rPr>
              <w:t>0.000</w:t>
            </w:r>
          </w:p>
        </w:tc>
      </w:tr>
      <w:tr>
        <w:tblPrEx>
          <w:tblCellMar>
            <w:top w:w="0" w:type="dxa"/>
            <w:left w:w="108" w:type="dxa"/>
            <w:bottom w:w="0" w:type="dxa"/>
            <w:right w:w="108" w:type="dxa"/>
          </w:tblCellMar>
        </w:tblPrEx>
        <w:trPr>
          <w:trHeight w:val="565" w:hRule="atLeast"/>
          <w:jc w:val="center"/>
        </w:trPr>
        <w:tc>
          <w:tcPr>
            <w:tcW w:w="2143" w:type="dxa"/>
            <w:vMerge w:val="continue"/>
            <w:tcBorders>
              <w:left w:val="single" w:color="auto" w:sz="4" w:space="0"/>
              <w:bottom w:val="single" w:color="000000" w:sz="4" w:space="0"/>
              <w:right w:val="single" w:color="auto" w:sz="4" w:space="0"/>
            </w:tcBorders>
            <w:vAlign w:val="center"/>
          </w:tcPr>
          <w:p>
            <w:pPr>
              <w:widowControl/>
              <w:jc w:val="center"/>
              <w:textAlignment w:val="center"/>
              <w:rPr>
                <w:szCs w:val="21"/>
              </w:rPr>
            </w:pPr>
          </w:p>
        </w:tc>
        <w:tc>
          <w:tcPr>
            <w:tcW w:w="1422" w:type="dxa"/>
            <w:vMerge w:val="continue"/>
            <w:tcBorders>
              <w:left w:val="single" w:color="auto" w:sz="4" w:space="0"/>
              <w:bottom w:val="single" w:color="000000" w:sz="4" w:space="0"/>
              <w:right w:val="single" w:color="auto" w:sz="4" w:space="0"/>
            </w:tcBorders>
            <w:vAlign w:val="center"/>
          </w:tcPr>
          <w:p>
            <w:pPr>
              <w:spacing w:after="0" w:line="440" w:lineRule="exact"/>
              <w:jc w:val="center"/>
              <w:rPr>
                <w:rFonts w:ascii="Arial" w:hAnsi="Arial" w:cs="Arial"/>
                <w:szCs w:val="21"/>
              </w:rPr>
            </w:pPr>
          </w:p>
        </w:tc>
        <w:tc>
          <w:tcPr>
            <w:tcW w:w="1650" w:type="dxa"/>
            <w:vMerge w:val="continue"/>
            <w:tcBorders>
              <w:left w:val="single" w:color="auto" w:sz="4" w:space="0"/>
              <w:bottom w:val="single" w:color="000000" w:sz="4" w:space="0"/>
              <w:right w:val="single" w:color="auto" w:sz="4" w:space="0"/>
            </w:tcBorders>
            <w:vAlign w:val="center"/>
          </w:tcPr>
          <w:p>
            <w:pPr>
              <w:spacing w:after="0" w:line="440" w:lineRule="exact"/>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rFonts w:hint="default" w:ascii="Arial" w:hAnsi="Arial" w:cs="Arial"/>
                <w:szCs w:val="21"/>
                <w:lang w:val="en-US"/>
              </w:rPr>
            </w:pPr>
            <w:r>
              <w:rPr>
                <w:rFonts w:ascii="Arial" w:hAnsi="Arial" w:cs="Arial"/>
                <w:szCs w:val="21"/>
              </w:rPr>
              <w:t>编号：SS</w:t>
            </w:r>
            <w:r>
              <w:rPr>
                <w:rFonts w:hint="eastAsia" w:ascii="Arial" w:hAnsi="Arial" w:cs="Arial"/>
                <w:szCs w:val="21"/>
                <w:lang w:val="en-US" w:eastAsia="zh-CN"/>
              </w:rPr>
              <w:t>164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440" w:lineRule="exact"/>
              <w:jc w:val="center"/>
              <w:rPr>
                <w:rFonts w:ascii="Arial" w:hAnsi="Arial" w:cs="Arial"/>
                <w:szCs w:val="21"/>
              </w:rPr>
            </w:pPr>
            <w:r>
              <w:rPr>
                <w:rFonts w:hint="default" w:ascii="Arial" w:hAnsi="Arial" w:eastAsia="宋体" w:cs="Arial"/>
                <w:szCs w:val="21"/>
                <w:highlight w:val="none"/>
                <w:lang w:val="en-US" w:eastAsia="zh-CN"/>
              </w:rPr>
              <w:t>0.000</w:t>
            </w:r>
          </w:p>
        </w:tc>
      </w:tr>
    </w:tbl>
    <w:p>
      <w:pPr>
        <w:spacing w:line="440" w:lineRule="exact"/>
        <w:jc w:val="center"/>
        <w:rPr>
          <w:rFonts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eastAsia="zh-CN"/>
        </w:rPr>
        <w:t>5月</w:t>
      </w:r>
      <w:r>
        <w:rPr>
          <w:rFonts w:hint="eastAsia" w:ascii="黑体" w:hAnsi="黑体" w:eastAsia="黑体" w:cs="黑体"/>
          <w:szCs w:val="21"/>
        </w:rPr>
        <w:t>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476" w:hRule="exac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spacing w:line="440" w:lineRule="exact"/>
              <w:jc w:val="center"/>
              <w:rPr>
                <w:rFonts w:ascii="Arial" w:hAnsi="Arial" w:cs="Arial"/>
                <w:szCs w:val="21"/>
              </w:rPr>
            </w:pPr>
            <w:r>
              <w:rPr>
                <w:rFonts w:ascii="Arial" w:hAnsi="Arial" w:cs="Arial"/>
                <w:szCs w:val="21"/>
              </w:rPr>
              <w:t>分析值</w:t>
            </w:r>
          </w:p>
        </w:tc>
      </w:tr>
      <w:tr>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.07</w:t>
            </w:r>
          </w:p>
          <w:p>
            <w:pPr>
              <w:jc w:val="center"/>
              <w:rPr>
                <w:rFonts w:ascii="Arial" w:hAnsi="Arial" w:cs="Arial"/>
                <w:szCs w:val="21"/>
              </w:rPr>
            </w:pP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含油污水来水</w:t>
            </w:r>
          </w:p>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ascii="Arial" w:hAnsi="Arial" w:cs="Arial"/>
                <w:szCs w:val="21"/>
              </w:rPr>
              <w:t>8.</w:t>
            </w:r>
            <w:r>
              <w:rPr>
                <w:rFonts w:hint="eastAsia" w:ascii="Arial" w:hAnsi="Arial" w:cs="Arial"/>
                <w:szCs w:val="21"/>
                <w:lang w:val="en-US" w:eastAsia="zh-CN"/>
              </w:rPr>
              <w:t>96</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7.36</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.07</w:t>
            </w:r>
          </w:p>
          <w:p>
            <w:pPr>
              <w:jc w:val="center"/>
              <w:rPr>
                <w:rFonts w:ascii="Arial" w:hAnsi="Arial" w:cs="Arial"/>
                <w:szCs w:val="21"/>
              </w:rPr>
            </w:pP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含盐污水来水</w:t>
            </w:r>
          </w:p>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5.60</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rPr>
              <w:t>2</w:t>
            </w:r>
            <w:r>
              <w:rPr>
                <w:rFonts w:hint="eastAsia" w:ascii="Arial" w:hAnsi="Arial" w:cs="Arial"/>
                <w:szCs w:val="21"/>
                <w:lang w:val="en-US" w:eastAsia="zh-CN"/>
              </w:rPr>
              <w:t>14.9</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9.20</w:t>
            </w:r>
          </w:p>
        </w:tc>
      </w:tr>
      <w:tr>
        <w:tblPrEx>
          <w:tblCellMar>
            <w:top w:w="0" w:type="dxa"/>
            <w:left w:w="108" w:type="dxa"/>
            <w:bottom w:w="0" w:type="dxa"/>
            <w:right w:w="108" w:type="dxa"/>
          </w:tblCellMar>
        </w:tblPrEx>
        <w:trPr>
          <w:trHeight w:val="567"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hint="eastAsia"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.0</w:t>
            </w:r>
            <w:r>
              <w:rPr>
                <w:rFonts w:hint="eastAsia" w:ascii="Arial" w:hAnsi="Arial" w:cs="Arial"/>
                <w:szCs w:val="21"/>
                <w:lang w:val="en-US" w:eastAsia="zh-CN"/>
              </w:rPr>
              <w:t>9</w:t>
            </w:r>
          </w:p>
        </w:tc>
        <w:tc>
          <w:tcPr>
            <w:tcW w:w="1935" w:type="dxa"/>
            <w:tcBorders>
              <w:top w:val="nil"/>
              <w:left w:val="nil"/>
              <w:bottom w:val="nil"/>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144.89</w:t>
            </w:r>
          </w:p>
        </w:tc>
      </w:tr>
      <w:tr>
        <w:tblPrEx>
          <w:tblCellMar>
            <w:top w:w="0" w:type="dxa"/>
            <w:left w:w="108" w:type="dxa"/>
            <w:bottom w:w="0" w:type="dxa"/>
            <w:right w:w="108" w:type="dxa"/>
          </w:tblCellMar>
        </w:tblPrEx>
        <w:trPr>
          <w:trHeight w:val="567"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.16</w:t>
            </w:r>
          </w:p>
          <w:p>
            <w:pPr>
              <w:jc w:val="center"/>
              <w:rPr>
                <w:rFonts w:ascii="Arial" w:hAnsi="Arial" w:cs="Arial"/>
                <w:szCs w:val="21"/>
              </w:rPr>
            </w:pP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含油污水来水</w:t>
            </w:r>
          </w:p>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ascii="Arial" w:hAnsi="Arial" w:cs="Arial"/>
                <w:szCs w:val="21"/>
              </w:rPr>
              <w:t>8.</w:t>
            </w:r>
            <w:r>
              <w:rPr>
                <w:rFonts w:hint="eastAsia" w:ascii="Arial" w:hAnsi="Arial" w:cs="Arial"/>
                <w:szCs w:val="21"/>
                <w:lang w:val="en-US" w:eastAsia="zh-CN"/>
              </w:rPr>
              <w:t>53</w:t>
            </w:r>
          </w:p>
        </w:tc>
      </w:tr>
      <w:tr>
        <w:tblPrEx>
          <w:tblCellMar>
            <w:top w:w="0" w:type="dxa"/>
            <w:left w:w="108" w:type="dxa"/>
            <w:bottom w:w="0" w:type="dxa"/>
            <w:right w:w="108" w:type="dxa"/>
          </w:tblCellMar>
        </w:tblPrEx>
        <w:trPr>
          <w:trHeight w:val="567"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10.36</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.16</w:t>
            </w:r>
          </w:p>
          <w:p>
            <w:pPr>
              <w:keepNext/>
              <w:keepLines w:val="0"/>
              <w:pageBreakBefore w:val="0"/>
              <w:widowControl w:val="0"/>
              <w:kinsoku/>
              <w:wordWrap/>
              <w:overflowPunct/>
              <w:topLinePunct w:val="0"/>
              <w:autoSpaceDE/>
              <w:autoSpaceDN/>
              <w:bidi w:val="0"/>
              <w:adjustRightInd/>
              <w:snapToGrid/>
              <w:jc w:val="center"/>
              <w:textAlignment w:val="auto"/>
              <w:rPr>
                <w:rFonts w:ascii="Arial" w:hAnsi="Arial" w:cs="Arial"/>
                <w:szCs w:val="21"/>
              </w:rPr>
            </w:pP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含盐污水来水</w:t>
            </w:r>
          </w:p>
          <w:p>
            <w:pPr>
              <w:keepNext/>
              <w:keepLines w:val="0"/>
              <w:pageBreakBefore w:val="0"/>
              <w:widowControl w:val="0"/>
              <w:kinsoku/>
              <w:wordWrap/>
              <w:overflowPunct/>
              <w:topLinePunct w:val="0"/>
              <w:autoSpaceDE/>
              <w:autoSpaceDN/>
              <w:bidi w:val="0"/>
              <w:adjustRightInd/>
              <w:snapToGrid/>
              <w:jc w:val="center"/>
              <w:textAlignment w:val="auto"/>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ascii="Arial" w:hAnsi="Arial" w:cs="Arial"/>
                <w:szCs w:val="21"/>
              </w:rPr>
              <w:t>7.</w:t>
            </w:r>
            <w:r>
              <w:rPr>
                <w:rFonts w:hint="eastAsia" w:ascii="Arial" w:hAnsi="Arial" w:cs="Arial"/>
                <w:szCs w:val="21"/>
                <w:lang w:val="en-US" w:eastAsia="zh-CN"/>
              </w:rPr>
              <w:t>48</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246.3</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13.68</w:t>
            </w:r>
          </w:p>
        </w:tc>
      </w:tr>
      <w:tr>
        <w:tblPrEx>
          <w:tblCellMar>
            <w:top w:w="0" w:type="dxa"/>
            <w:left w:w="108" w:type="dxa"/>
            <w:bottom w:w="0" w:type="dxa"/>
            <w:right w:w="108" w:type="dxa"/>
          </w:tblCellMar>
        </w:tblPrEx>
        <w:trPr>
          <w:trHeight w:val="567"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.1</w:t>
            </w:r>
            <w:r>
              <w:rPr>
                <w:rFonts w:hint="eastAsia" w:ascii="Arial" w:hAnsi="Arial" w:cs="Arial"/>
                <w:szCs w:val="21"/>
                <w:lang w:val="en-US" w:eastAsia="zh-CN"/>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128.04</w:t>
            </w:r>
          </w:p>
        </w:tc>
      </w:tr>
      <w:tr>
        <w:tblPrEx>
          <w:tblCellMar>
            <w:top w:w="0" w:type="dxa"/>
            <w:left w:w="108" w:type="dxa"/>
            <w:bottom w:w="0" w:type="dxa"/>
            <w:right w:w="108" w:type="dxa"/>
          </w:tblCellMar>
        </w:tblPrEx>
        <w:trPr>
          <w:trHeight w:val="567"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.2</w:t>
            </w:r>
            <w:r>
              <w:rPr>
                <w:rFonts w:hint="eastAsia" w:ascii="Arial" w:hAnsi="Arial" w:cs="Arial"/>
                <w:szCs w:val="21"/>
                <w:lang w:val="en-US" w:eastAsia="zh-CN"/>
              </w:rPr>
              <w:t>6</w:t>
            </w:r>
          </w:p>
          <w:p>
            <w:pPr>
              <w:jc w:val="center"/>
              <w:rPr>
                <w:rFonts w:ascii="Arial" w:hAnsi="Arial" w:cs="Arial"/>
                <w:szCs w:val="21"/>
              </w:rPr>
            </w:pP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含油污水来水</w:t>
            </w:r>
          </w:p>
          <w:p>
            <w:pPr>
              <w:jc w:val="center"/>
              <w:rPr>
                <w:rFonts w:ascii="Arial" w:hAnsi="Arial" w:cs="Arial"/>
                <w:szCs w:val="21"/>
              </w:rPr>
            </w:pP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8.14</w:t>
            </w:r>
          </w:p>
        </w:tc>
      </w:tr>
      <w:tr>
        <w:tblPrEx>
          <w:tblCellMar>
            <w:top w:w="0" w:type="dxa"/>
            <w:left w:w="108" w:type="dxa"/>
            <w:bottom w:w="0" w:type="dxa"/>
            <w:right w:w="108" w:type="dxa"/>
          </w:tblCellMar>
        </w:tblPrEx>
        <w:trPr>
          <w:trHeight w:val="567"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6.56</w:t>
            </w:r>
          </w:p>
        </w:tc>
      </w:tr>
      <w:tr>
        <w:tblPrEx>
          <w:tblCellMar>
            <w:top w:w="0" w:type="dxa"/>
            <w:left w:w="108" w:type="dxa"/>
            <w:bottom w:w="0" w:type="dxa"/>
            <w:right w:w="108" w:type="dxa"/>
          </w:tblCellMar>
        </w:tblPrEx>
        <w:trPr>
          <w:trHeight w:val="567"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.2</w:t>
            </w:r>
            <w:r>
              <w:rPr>
                <w:rFonts w:hint="eastAsia" w:ascii="Arial" w:hAnsi="Arial" w:cs="Arial"/>
                <w:szCs w:val="21"/>
                <w:lang w:val="en-US" w:eastAsia="zh-CN"/>
              </w:rPr>
              <w:t>6</w:t>
            </w:r>
          </w:p>
          <w:p>
            <w:pPr>
              <w:jc w:val="center"/>
              <w:rPr>
                <w:rFonts w:ascii="Arial" w:hAnsi="Arial" w:cs="Arial"/>
                <w:szCs w:val="21"/>
              </w:rPr>
            </w:pP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eastAsia="宋体" w:cs="Arial"/>
                <w:sz w:val="21"/>
                <w:szCs w:val="21"/>
                <w:lang w:val="en-US" w:eastAsia="zh-CN" w:bidi="ar-SA"/>
              </w:rPr>
            </w:pPr>
            <w:r>
              <w:rPr>
                <w:rFonts w:ascii="Arial" w:hAnsi="Arial" w:cs="Arial"/>
                <w:szCs w:val="21"/>
              </w:rPr>
              <w:t>含盐污水来水</w:t>
            </w:r>
          </w:p>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rPr>
              <w:t>7.</w:t>
            </w:r>
            <w:r>
              <w:rPr>
                <w:rFonts w:hint="eastAsia" w:ascii="Arial" w:hAnsi="Arial" w:cs="Arial"/>
                <w:szCs w:val="21"/>
                <w:lang w:val="en-US" w:eastAsia="zh-CN"/>
              </w:rPr>
              <w:t>36</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185.7</w:t>
            </w:r>
          </w:p>
        </w:tc>
      </w:tr>
      <w:tr>
        <w:tblPrEx>
          <w:tblCellMar>
            <w:top w:w="0" w:type="dxa"/>
            <w:left w:w="108" w:type="dxa"/>
            <w:bottom w:w="0" w:type="dxa"/>
            <w:right w:w="108" w:type="dxa"/>
          </w:tblCellMar>
        </w:tblPrEx>
        <w:trPr>
          <w:trHeight w:val="567"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5.6</w:t>
            </w:r>
          </w:p>
        </w:tc>
      </w:tr>
      <w:tr>
        <w:tblPrEx>
          <w:tblCellMar>
            <w:top w:w="0" w:type="dxa"/>
            <w:left w:w="108" w:type="dxa"/>
            <w:bottom w:w="0" w:type="dxa"/>
            <w:right w:w="108" w:type="dxa"/>
          </w:tblCellMar>
        </w:tblPrEx>
        <w:trPr>
          <w:trHeight w:val="567"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2022.0</w:t>
            </w:r>
            <w:r>
              <w:rPr>
                <w:rFonts w:hint="eastAsia" w:ascii="Arial" w:hAnsi="Arial" w:cs="Arial"/>
                <w:szCs w:val="21"/>
                <w:lang w:val="en-US" w:eastAsia="zh-CN"/>
              </w:rPr>
              <w:t>5</w:t>
            </w:r>
            <w:r>
              <w:rPr>
                <w:rFonts w:ascii="Arial" w:hAnsi="Arial" w:cs="Arial"/>
                <w:szCs w:val="21"/>
              </w:rPr>
              <w:t>.25</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eastAsia="宋体" w:cs="Arial"/>
                <w:sz w:val="21"/>
                <w:szCs w:val="21"/>
                <w:lang w:val="en-US" w:eastAsia="zh-CN" w:bidi="ar-SA"/>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eastAsia="宋体" w:cs="Arial"/>
                <w:sz w:val="21"/>
                <w:szCs w:val="21"/>
                <w:lang w:val="en-US" w:eastAsia="zh-CN" w:bidi="ar-SA"/>
              </w:rPr>
            </w:pPr>
            <w:r>
              <w:rPr>
                <w:rFonts w:hint="eastAsia" w:ascii="Arial" w:hAnsi="Arial" w:cs="Arial"/>
                <w:szCs w:val="21"/>
                <w:lang w:val="en-US" w:eastAsia="zh-CN"/>
              </w:rPr>
              <w:t>220.7</w:t>
            </w:r>
          </w:p>
        </w:tc>
      </w:tr>
    </w:tbl>
    <w:p>
      <w:pPr>
        <w:spacing w:after="0"/>
        <w:rPr>
          <w:rFonts w:hint="eastAsia" w:ascii="宋体" w:hAnsi="宋体" w:cs="宋体"/>
          <w:szCs w:val="21"/>
        </w:rPr>
      </w:pPr>
      <w:r>
        <w:rPr>
          <w:rFonts w:hint="eastAsia" w:ascii="宋体" w:hAnsi="宋体" w:cs="宋体"/>
          <w:szCs w:val="21"/>
        </w:rPr>
        <w:t>本月含油污水pH、硫化物在腐蚀控制指标范围内。</w:t>
      </w:r>
    </w:p>
    <w:p>
      <w:pPr>
        <w:spacing w:after="0"/>
        <w:rPr>
          <w:rFonts w:ascii="宋体" w:hAnsi="宋体" w:cs="宋体"/>
          <w:szCs w:val="21"/>
        </w:rPr>
      </w:pPr>
      <w:r>
        <w:rPr>
          <w:rFonts w:hint="eastAsia" w:ascii="宋体" w:hAnsi="宋体" w:cs="宋体"/>
          <w:szCs w:val="21"/>
        </w:rPr>
        <w:t>含油系统相关设备存在腐蚀情况，目前腐蚀严重的设备主要为</w:t>
      </w:r>
      <w:r>
        <w:rPr>
          <w:rFonts w:hint="eastAsia" w:ascii="宋体" w:hAnsi="宋体" w:cs="宋体"/>
          <w:szCs w:val="21"/>
          <w:lang w:val="en-US" w:eastAsia="zh-CN"/>
        </w:rPr>
        <w:t>浮渣中间罐T-3001/3002,</w:t>
      </w:r>
      <w:r>
        <w:rPr>
          <w:rFonts w:hint="eastAsia" w:ascii="宋体" w:hAnsi="宋体" w:cs="宋体"/>
          <w:szCs w:val="21"/>
        </w:rPr>
        <w:t>浓缩罐5152-</w:t>
      </w:r>
      <w:r>
        <w:rPr>
          <w:rFonts w:ascii="宋体" w:hAnsi="宋体" w:cs="宋体"/>
          <w:szCs w:val="21"/>
        </w:rPr>
        <w:t>3006A/B/C/D,</w:t>
      </w:r>
      <w:r>
        <w:rPr>
          <w:rFonts w:hint="eastAsia" w:ascii="宋体" w:hAnsi="宋体" w:cs="宋体"/>
          <w:szCs w:val="21"/>
        </w:rPr>
        <w:t>3007A/B/C/D；其内部腐蚀的铁锈（块状）频繁出现堵塞管线的情况，经使用消防水冲洗疏通后，目前暂能维持运行，但后续仍有被堵塞的可能。</w:t>
      </w:r>
    </w:p>
    <w:p>
      <w:pPr>
        <w:spacing w:after="0"/>
        <w:rPr>
          <w:rFonts w:ascii="宋体" w:hAnsi="宋体" w:cs="宋体"/>
          <w:szCs w:val="21"/>
        </w:rPr>
      </w:pPr>
      <w:r>
        <w:rPr>
          <w:rFonts w:hint="eastAsia" w:ascii="宋体" w:hAnsi="宋体" w:cs="宋体"/>
          <w:szCs w:val="21"/>
        </w:rPr>
        <w:t>含盐污水pH、氯离子、硫化物在腐蚀控制指标范围内，相关设备存在腐蚀可能性较小。</w:t>
      </w:r>
    </w:p>
    <w:p>
      <w:pPr>
        <w:spacing w:after="0" w:line="440" w:lineRule="exact"/>
        <w:rPr>
          <w:rFonts w:ascii="宋体" w:hAnsi="宋体" w:cs="宋体"/>
          <w:szCs w:val="21"/>
        </w:rPr>
      </w:pPr>
      <w:r>
        <w:rPr>
          <w:rFonts w:hint="eastAsia" w:ascii="宋体" w:hAnsi="宋体" w:cs="宋体"/>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hint="eastAsia" w:ascii="Arial" w:hAnsi="Arial" w:cs="Arial"/>
        </w:rPr>
      </w:pPr>
      <w:bookmarkStart w:id="116" w:name="_Toc1831"/>
      <w:bookmarkStart w:id="117" w:name="_Toc8435"/>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rFonts w:hint="eastAsia"/>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807" w:type="dxa"/>
            <w:vAlign w:val="center"/>
          </w:tcPr>
          <w:p>
            <w:pPr>
              <w:widowControl w:val="0"/>
              <w:spacing w:line="440" w:lineRule="exact"/>
              <w:jc w:val="center"/>
              <w:rPr>
                <w:rFonts w:ascii="Arial" w:hAnsi="Arial" w:cs="Arial"/>
                <w:szCs w:val="21"/>
              </w:rPr>
            </w:pPr>
            <w:r>
              <w:rPr>
                <w:rFonts w:ascii="Arial" w:hAnsi="Arial" w:cs="Arial"/>
                <w:szCs w:val="21"/>
              </w:rPr>
              <w:t>采样点</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不合格数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采样总数</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含油回用水池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hint="eastAsia" w:ascii="Arial" w:hAnsi="Arial" w:eastAsia="宋体" w:cs="Arial"/>
                <w:szCs w:val="21"/>
                <w:lang w:eastAsia="zh-CN"/>
              </w:rPr>
            </w:pPr>
            <w:r>
              <w:rPr>
                <w:rFonts w:hint="eastAsia" w:ascii="Arial" w:hAnsi="Arial" w:cs="Arial"/>
                <w:szCs w:val="21"/>
              </w:rPr>
              <w:t>3</w:t>
            </w:r>
            <w:r>
              <w:rPr>
                <w:rFonts w:hint="eastAsia" w:ascii="Arial" w:hAnsi="Arial" w:cs="Arial"/>
                <w:szCs w:val="21"/>
                <w:lang w:val="en-US" w:eastAsia="zh-CN"/>
              </w:rPr>
              <w:t>1</w:t>
            </w:r>
          </w:p>
        </w:tc>
        <w:tc>
          <w:tcPr>
            <w:tcW w:w="1807" w:type="dxa"/>
            <w:vAlign w:val="center"/>
          </w:tcPr>
          <w:p>
            <w:pPr>
              <w:widowControl w:val="0"/>
              <w:spacing w:line="440" w:lineRule="exact"/>
              <w:jc w:val="center"/>
              <w:rPr>
                <w:rFonts w:hint="eastAsia" w:ascii="Arial" w:hAnsi="Arial" w:eastAsia="宋体" w:cs="Arial"/>
                <w:szCs w:val="21"/>
                <w:lang w:eastAsia="zh-CN"/>
              </w:rPr>
            </w:pPr>
            <w:r>
              <w:rPr>
                <w:rFonts w:hint="eastAsia" w:ascii="Arial" w:hAnsi="Arial" w:cs="Arial"/>
                <w:szCs w:val="21"/>
              </w:rPr>
              <w:t>3</w:t>
            </w:r>
            <w:r>
              <w:rPr>
                <w:rFonts w:hint="eastAsia" w:ascii="Arial" w:hAnsi="Arial" w:cs="Arial"/>
                <w:szCs w:val="21"/>
                <w:lang w:val="en-US" w:eastAsia="zh-CN"/>
              </w:rPr>
              <w:t>1</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含盐外排监护池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hint="eastAsia" w:ascii="Arial" w:hAnsi="Arial" w:eastAsia="宋体" w:cs="Arial"/>
                <w:szCs w:val="21"/>
                <w:lang w:eastAsia="zh-CN"/>
              </w:rPr>
            </w:pPr>
            <w:r>
              <w:rPr>
                <w:rFonts w:hint="eastAsia" w:ascii="Arial" w:hAnsi="Arial" w:cs="Arial"/>
                <w:szCs w:val="21"/>
              </w:rPr>
              <w:t>3</w:t>
            </w:r>
            <w:r>
              <w:rPr>
                <w:rFonts w:hint="eastAsia" w:ascii="Arial" w:hAnsi="Arial" w:cs="Arial"/>
                <w:szCs w:val="21"/>
                <w:lang w:val="en-US" w:eastAsia="zh-CN"/>
              </w:rPr>
              <w:t>1</w:t>
            </w:r>
          </w:p>
        </w:tc>
        <w:tc>
          <w:tcPr>
            <w:tcW w:w="1807" w:type="dxa"/>
            <w:vAlign w:val="center"/>
          </w:tcPr>
          <w:p>
            <w:pPr>
              <w:widowControl w:val="0"/>
              <w:spacing w:line="440" w:lineRule="exact"/>
              <w:jc w:val="center"/>
              <w:rPr>
                <w:rFonts w:hint="eastAsia" w:ascii="Arial" w:hAnsi="Arial" w:eastAsia="宋体" w:cs="Arial"/>
                <w:szCs w:val="21"/>
                <w:lang w:eastAsia="zh-CN"/>
              </w:rPr>
            </w:pPr>
            <w:r>
              <w:rPr>
                <w:rFonts w:hint="eastAsia" w:ascii="Arial" w:hAnsi="Arial" w:cs="Arial"/>
                <w:szCs w:val="21"/>
              </w:rPr>
              <w:t>3</w:t>
            </w:r>
            <w:r>
              <w:rPr>
                <w:rFonts w:hint="eastAsia" w:ascii="Arial" w:hAnsi="Arial" w:cs="Arial"/>
                <w:szCs w:val="21"/>
                <w:lang w:val="en-US" w:eastAsia="zh-CN"/>
              </w:rPr>
              <w:t>1</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807" w:type="dxa"/>
            <w:vAlign w:val="center"/>
          </w:tcPr>
          <w:p>
            <w:pPr>
              <w:widowControl w:val="0"/>
              <w:spacing w:line="440" w:lineRule="exact"/>
              <w:jc w:val="center"/>
              <w:rPr>
                <w:rFonts w:ascii="Arial" w:hAnsi="Arial" w:cs="Arial"/>
                <w:szCs w:val="21"/>
              </w:rPr>
            </w:pPr>
            <w:r>
              <w:rPr>
                <w:rFonts w:ascii="Arial" w:hAnsi="Arial" w:cs="Arial"/>
                <w:szCs w:val="21"/>
              </w:rPr>
              <w:t>雨水监控池</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0</w:t>
            </w:r>
          </w:p>
        </w:tc>
        <w:tc>
          <w:tcPr>
            <w:tcW w:w="1807" w:type="dxa"/>
            <w:vAlign w:val="center"/>
          </w:tcPr>
          <w:p>
            <w:pPr>
              <w:widowControl w:val="0"/>
              <w:spacing w:line="440" w:lineRule="exact"/>
              <w:jc w:val="center"/>
              <w:rPr>
                <w:rFonts w:hint="default" w:ascii="Arial" w:hAnsi="Arial" w:eastAsia="宋体" w:cs="Arial"/>
                <w:szCs w:val="21"/>
                <w:highlight w:val="yellow"/>
                <w:lang w:val="en-US" w:eastAsia="zh-CN"/>
              </w:rPr>
            </w:pPr>
            <w:r>
              <w:rPr>
                <w:rFonts w:hint="eastAsia" w:ascii="Arial" w:hAnsi="Arial" w:cs="Arial"/>
                <w:szCs w:val="21"/>
                <w:lang w:val="en-US" w:eastAsia="zh-CN"/>
              </w:rPr>
              <w:t>18</w:t>
            </w:r>
          </w:p>
        </w:tc>
        <w:tc>
          <w:tcPr>
            <w:tcW w:w="1807" w:type="dxa"/>
            <w:vAlign w:val="center"/>
          </w:tcPr>
          <w:p>
            <w:pPr>
              <w:widowControl w:val="0"/>
              <w:spacing w:line="440" w:lineRule="exact"/>
              <w:jc w:val="center"/>
              <w:rPr>
                <w:rFonts w:hint="default" w:ascii="Arial" w:hAnsi="Arial" w:eastAsia="宋体" w:cs="Arial"/>
                <w:szCs w:val="21"/>
                <w:highlight w:val="yellow"/>
                <w:lang w:val="en-US" w:eastAsia="zh-CN"/>
              </w:rPr>
            </w:pPr>
            <w:r>
              <w:rPr>
                <w:rFonts w:hint="eastAsia" w:ascii="Arial" w:hAnsi="Arial" w:cs="Arial"/>
                <w:szCs w:val="21"/>
                <w:lang w:val="en-US" w:eastAsia="zh-CN"/>
              </w:rPr>
              <w:t>18</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shd w:val="clear" w:color="auto" w:fill="auto"/>
            <w:noWrap/>
            <w:vAlign w:val="center"/>
          </w:tcPr>
          <w:p>
            <w:pPr>
              <w:spacing w:line="440" w:lineRule="exact"/>
              <w:jc w:val="center"/>
              <w:rPr>
                <w:rFonts w:ascii="Arial" w:hAnsi="Arial" w:cs="Arial"/>
                <w:szCs w:val="21"/>
              </w:rPr>
            </w:pPr>
          </w:p>
        </w:tc>
        <w:tc>
          <w:tcPr>
            <w:tcW w:w="118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8.33</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7.42</w:t>
            </w:r>
          </w:p>
        </w:tc>
        <w:tc>
          <w:tcPr>
            <w:tcW w:w="1581"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1576"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1.67</w:t>
            </w:r>
          </w:p>
        </w:tc>
        <w:tc>
          <w:tcPr>
            <w:tcW w:w="1576" w:type="dxa"/>
            <w:shd w:val="clear" w:color="auto" w:fill="auto"/>
            <w:noWrap/>
            <w:vAlign w:val="center"/>
          </w:tcPr>
          <w:p>
            <w:pPr>
              <w:keepNext w:val="0"/>
              <w:keepLines w:val="0"/>
              <w:widowControl/>
              <w:suppressLineNumbers w:val="0"/>
              <w:jc w:val="center"/>
              <w:textAlignment w:val="center"/>
              <w:rPr>
                <w:rFonts w:hint="eastAsia"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0.1</w:t>
            </w:r>
          </w:p>
        </w:tc>
        <w:tc>
          <w:tcPr>
            <w:tcW w:w="1581" w:type="dxa"/>
            <w:shd w:val="clear" w:color="auto" w:fill="auto"/>
            <w:noWrap/>
            <w:vAlign w:val="center"/>
          </w:tcPr>
          <w:p>
            <w:pPr>
              <w:keepNext w:val="0"/>
              <w:keepLines w:val="0"/>
              <w:widowControl/>
              <w:suppressLineNumbers w:val="0"/>
              <w:jc w:val="center"/>
              <w:textAlignment w:val="center"/>
              <w:rPr>
                <w:rFonts w:hint="eastAsia"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0.</w:t>
            </w:r>
            <w:r>
              <w:rPr>
                <w:rFonts w:hint="eastAsia" w:ascii="Arial" w:hAnsi="Arial" w:cs="Arial"/>
                <w:i w:val="0"/>
                <w:iCs w:val="0"/>
                <w:color w:val="000000"/>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1576" w:type="dxa"/>
            <w:shd w:val="clear" w:color="auto" w:fill="auto"/>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34</w:t>
            </w:r>
          </w:p>
        </w:tc>
        <w:tc>
          <w:tcPr>
            <w:tcW w:w="1576"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1581"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20.6</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shd w:val="clear" w:color="auto" w:fill="auto"/>
            <w:noWrap/>
            <w:vAlign w:val="center"/>
          </w:tcPr>
          <w:p>
            <w:pPr>
              <w:spacing w:line="440" w:lineRule="exact"/>
              <w:jc w:val="center"/>
              <w:rPr>
                <w:rFonts w:ascii="Arial" w:hAnsi="Arial" w:cs="Arial"/>
                <w:szCs w:val="21"/>
              </w:rPr>
            </w:pPr>
          </w:p>
        </w:tc>
        <w:tc>
          <w:tcPr>
            <w:tcW w:w="118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8.14</w:t>
            </w:r>
          </w:p>
        </w:tc>
        <w:tc>
          <w:tcPr>
            <w:tcW w:w="1576" w:type="dxa"/>
            <w:shd w:val="clear" w:color="auto" w:fill="auto"/>
            <w:noWrap/>
            <w:vAlign w:val="center"/>
          </w:tcPr>
          <w:p>
            <w:pPr>
              <w:keepNext w:val="0"/>
              <w:keepLines w:val="0"/>
              <w:widowControl/>
              <w:suppressLineNumbers w:val="0"/>
              <w:jc w:val="center"/>
              <w:textAlignment w:val="center"/>
              <w:rPr>
                <w:rFonts w:hint="eastAsia"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7.19</w:t>
            </w:r>
          </w:p>
        </w:tc>
        <w:tc>
          <w:tcPr>
            <w:tcW w:w="1581"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0.27</w:t>
            </w:r>
          </w:p>
        </w:tc>
        <w:tc>
          <w:tcPr>
            <w:tcW w:w="1576" w:type="dxa"/>
            <w:shd w:val="clear" w:color="auto" w:fill="auto"/>
            <w:noWrap/>
            <w:vAlign w:val="center"/>
          </w:tcPr>
          <w:p>
            <w:pPr>
              <w:keepNext w:val="0"/>
              <w:keepLines w:val="0"/>
              <w:widowControl/>
              <w:suppressLineNumbers w:val="0"/>
              <w:jc w:val="center"/>
              <w:textAlignment w:val="center"/>
              <w:rPr>
                <w:rFonts w:hint="eastAsia"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0.1</w:t>
            </w:r>
          </w:p>
        </w:tc>
        <w:tc>
          <w:tcPr>
            <w:tcW w:w="1581"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0.</w:t>
            </w:r>
            <w:r>
              <w:rPr>
                <w:rFonts w:hint="eastAsia" w:ascii="Arial" w:hAnsi="Arial" w:cs="Arial"/>
                <w:i w:val="0"/>
                <w:iCs w:val="0"/>
                <w:color w:val="000000"/>
                <w:kern w:val="0"/>
                <w:sz w:val="22"/>
                <w:szCs w:val="22"/>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1576" w:type="dxa"/>
            <w:shd w:val="clear" w:color="auto" w:fill="auto"/>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51</w:t>
            </w:r>
          </w:p>
        </w:tc>
        <w:tc>
          <w:tcPr>
            <w:tcW w:w="1576"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1581" w:type="dxa"/>
            <w:shd w:val="clear" w:color="auto" w:fill="auto"/>
            <w:noWrap/>
            <w:vAlign w:val="center"/>
          </w:tcPr>
          <w:p>
            <w:pPr>
              <w:keepNext w:val="0"/>
              <w:keepLines w:val="0"/>
              <w:widowControl/>
              <w:suppressLineNumbers w:val="0"/>
              <w:jc w:val="center"/>
              <w:textAlignment w:val="center"/>
              <w:rPr>
                <w:rFonts w:hint="default" w:ascii="Arial" w:hAnsi="Arial" w:eastAsia="宋体" w:cs="Arial"/>
                <w:szCs w:val="21"/>
                <w:lang w:val="en-US" w:eastAsia="zh-CN"/>
              </w:rPr>
            </w:pPr>
            <w:r>
              <w:rPr>
                <w:rFonts w:hint="default" w:ascii="Arial" w:hAnsi="Arial" w:eastAsia="宋体" w:cs="Arial"/>
                <w:i w:val="0"/>
                <w:iCs w:val="0"/>
                <w:color w:val="000000"/>
                <w:kern w:val="0"/>
                <w:sz w:val="22"/>
                <w:szCs w:val="22"/>
                <w:u w:val="none"/>
                <w:lang w:val="en-US" w:eastAsia="zh-CN" w:bidi="ar"/>
              </w:rPr>
              <w:t>29.5</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460"/>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366" w:type="pct"/>
            <w:vMerge w:val="restar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pPr>
              <w:spacing w:line="440" w:lineRule="exact"/>
              <w:jc w:val="center"/>
              <w:rPr>
                <w:rFonts w:ascii="Arial" w:hAnsi="Arial" w:cs="Arial"/>
                <w:szCs w:val="21"/>
              </w:rPr>
            </w:pPr>
            <w:r>
              <w:rPr>
                <w:rFonts w:ascii="Arial" w:hAnsi="Arial" w:cs="Arial"/>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shd w:val="clear" w:color="auto" w:fill="auto"/>
            <w:noWrap/>
            <w:vAlign w:val="center"/>
          </w:tcPr>
          <w:p>
            <w:pPr>
              <w:spacing w:line="440" w:lineRule="exact"/>
              <w:jc w:val="center"/>
              <w:rPr>
                <w:rFonts w:ascii="Arial" w:hAnsi="Arial" w:cs="Arial"/>
                <w:szCs w:val="21"/>
              </w:rPr>
            </w:pPr>
          </w:p>
        </w:tc>
        <w:tc>
          <w:tcPr>
            <w:tcW w:w="1366" w:type="pct"/>
            <w:vMerge w:val="continue"/>
            <w:shd w:val="clear" w:color="auto" w:fill="auto"/>
            <w:noWrap/>
            <w:vAlign w:val="center"/>
          </w:tcPr>
          <w:p>
            <w:pPr>
              <w:spacing w:line="440" w:lineRule="exact"/>
              <w:jc w:val="center"/>
              <w:rPr>
                <w:rFonts w:ascii="Arial" w:hAnsi="Arial" w:cs="Arial"/>
                <w:szCs w:val="21"/>
              </w:rPr>
            </w:pP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0.64</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0.08</w:t>
            </w:r>
          </w:p>
        </w:tc>
        <w:tc>
          <w:tcPr>
            <w:tcW w:w="1581"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rPr>
              <w:t>8.</w:t>
            </w:r>
            <w:r>
              <w:rPr>
                <w:rFonts w:hint="eastAsia" w:ascii="Arial" w:hAnsi="Arial" w:cs="Arial"/>
                <w:szCs w:val="21"/>
                <w:lang w:val="en-US" w:eastAsia="zh-CN"/>
              </w:rPr>
              <w:t>23</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7.6</w:t>
            </w:r>
          </w:p>
        </w:tc>
        <w:tc>
          <w:tcPr>
            <w:tcW w:w="876" w:type="pct"/>
            <w:shd w:val="clear" w:color="auto" w:fill="auto"/>
            <w:noWrap/>
            <w:vAlign w:val="bottom"/>
          </w:tcPr>
          <w:p>
            <w:pPr>
              <w:spacing w:line="440" w:lineRule="exact"/>
              <w:jc w:val="center"/>
              <w:rPr>
                <w:rFonts w:hint="eastAsia" w:ascii="Arial" w:hAnsi="Arial" w:eastAsia="宋体" w:cs="Arial"/>
                <w:szCs w:val="21"/>
                <w:lang w:val="en-US" w:eastAsia="zh-CN"/>
              </w:rPr>
            </w:pPr>
            <w:r>
              <w:rPr>
                <w:rFonts w:ascii="Arial" w:hAnsi="Arial" w:cs="Arial"/>
                <w:szCs w:val="21"/>
              </w:rPr>
              <w:t>7.</w:t>
            </w:r>
            <w:r>
              <w:rPr>
                <w:rFonts w:hint="eastAsia" w:ascii="Arial" w:hAnsi="Arial" w:cs="Arial"/>
                <w:szCs w:val="21"/>
              </w:rPr>
              <w:t>9</w:t>
            </w:r>
            <w:r>
              <w:rPr>
                <w:rFonts w:hint="eastAsia" w:ascii="Arial" w:hAnsi="Arial" w:cs="Arial"/>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37</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1</w:t>
            </w:r>
            <w:r>
              <w:rPr>
                <w:rFonts w:hint="eastAsia" w:ascii="Arial" w:hAnsi="Arial" w:cs="Arial"/>
                <w:szCs w:val="21"/>
                <w:lang w:val="en-US" w:eastAsia="zh-CN"/>
              </w:rPr>
              <w:t>0</w:t>
            </w:r>
            <w:r>
              <w:rPr>
                <w:rFonts w:ascii="Arial" w:hAnsi="Arial" w:cs="Arial"/>
                <w:szCs w:val="21"/>
              </w:rPr>
              <w:t>.00</w:t>
            </w:r>
          </w:p>
        </w:tc>
        <w:tc>
          <w:tcPr>
            <w:tcW w:w="876" w:type="pct"/>
            <w:shd w:val="clear" w:color="auto" w:fill="auto"/>
            <w:noWrap/>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1576" w:type="dxa"/>
            <w:shd w:val="clear" w:color="auto" w:fill="auto"/>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0.54</w:t>
            </w:r>
          </w:p>
        </w:tc>
        <w:tc>
          <w:tcPr>
            <w:tcW w:w="1576"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0.12</w:t>
            </w:r>
          </w:p>
        </w:tc>
        <w:tc>
          <w:tcPr>
            <w:tcW w:w="1581" w:type="dxa"/>
            <w:shd w:val="clear" w:color="auto" w:fill="auto"/>
            <w:noWrap/>
            <w:vAlign w:val="center"/>
          </w:tcPr>
          <w:p>
            <w:pPr>
              <w:keepNext w:val="0"/>
              <w:keepLines w:val="0"/>
              <w:widowControl/>
              <w:suppressLineNumbers w:val="0"/>
              <w:jc w:val="center"/>
              <w:textAlignment w:val="center"/>
              <w:rPr>
                <w:rFonts w:ascii="Arial" w:hAnsi="Arial" w:cs="Arial"/>
                <w:szCs w:val="21"/>
              </w:rPr>
            </w:pPr>
            <w:r>
              <w:rPr>
                <w:rFonts w:hint="default" w:ascii="Arial" w:hAnsi="Arial" w:eastAsia="宋体" w:cs="Arial"/>
                <w:i w:val="0"/>
                <w:iCs w:val="0"/>
                <w:color w:val="000000"/>
                <w:kern w:val="0"/>
                <w:sz w:val="22"/>
                <w:szCs w:val="22"/>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vAlign w:val="bottom"/>
          </w:tcPr>
          <w:p>
            <w:pPr>
              <w:spacing w:line="440" w:lineRule="exact"/>
              <w:jc w:val="center"/>
              <w:rPr>
                <w:rFonts w:hint="eastAsia" w:ascii="Arial" w:hAnsi="Arial" w:eastAsia="宋体" w:cs="Arial"/>
                <w:szCs w:val="21"/>
                <w:lang w:eastAsia="zh-CN"/>
              </w:rPr>
            </w:pPr>
            <w:r>
              <w:rPr>
                <w:rFonts w:ascii="Arial" w:hAnsi="Arial" w:cs="Arial"/>
                <w:szCs w:val="21"/>
              </w:rPr>
              <w:t>8.</w:t>
            </w:r>
            <w:r>
              <w:rPr>
                <w:rFonts w:hint="eastAsia" w:ascii="Arial" w:hAnsi="Arial" w:cs="Arial"/>
                <w:szCs w:val="21"/>
                <w:lang w:val="en-US" w:eastAsia="zh-CN"/>
              </w:rPr>
              <w:t>5</w:t>
            </w:r>
          </w:p>
        </w:tc>
        <w:tc>
          <w:tcPr>
            <w:tcW w:w="875" w:type="pct"/>
            <w:shd w:val="clear" w:color="auto" w:fill="auto"/>
            <w:noWrap/>
            <w:vAlign w:val="bottom"/>
          </w:tcPr>
          <w:p>
            <w:pPr>
              <w:spacing w:line="440" w:lineRule="exact"/>
              <w:jc w:val="center"/>
              <w:rPr>
                <w:rFonts w:hint="eastAsia" w:ascii="Arial" w:hAnsi="Arial" w:eastAsia="宋体" w:cs="Arial"/>
                <w:szCs w:val="21"/>
                <w:lang w:val="en-US" w:eastAsia="zh-CN"/>
              </w:rPr>
            </w:pPr>
            <w:r>
              <w:rPr>
                <w:rFonts w:ascii="Arial" w:hAnsi="Arial" w:cs="Arial"/>
                <w:szCs w:val="21"/>
              </w:rPr>
              <w:t>7.8</w:t>
            </w:r>
            <w:r>
              <w:rPr>
                <w:rFonts w:hint="eastAsia" w:ascii="Arial" w:hAnsi="Arial" w:cs="Arial"/>
                <w:szCs w:val="21"/>
                <w:lang w:val="en-US" w:eastAsia="zh-CN"/>
              </w:rPr>
              <w:t>1</w:t>
            </w:r>
          </w:p>
        </w:tc>
        <w:tc>
          <w:tcPr>
            <w:tcW w:w="876" w:type="pct"/>
            <w:shd w:val="clear" w:color="auto" w:fill="auto"/>
            <w:noWrap/>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rPr>
              <w:t>8.</w:t>
            </w:r>
            <w:r>
              <w:rPr>
                <w:rFonts w:hint="eastAsia" w:ascii="Arial" w:hAnsi="Arial" w:cs="Arial"/>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31</w:t>
            </w:r>
          </w:p>
        </w:tc>
        <w:tc>
          <w:tcPr>
            <w:tcW w:w="875" w:type="pct"/>
            <w:shd w:val="clear" w:color="auto" w:fill="auto"/>
            <w:noWrap/>
            <w:vAlign w:val="bottom"/>
          </w:tcPr>
          <w:p>
            <w:pPr>
              <w:spacing w:line="440" w:lineRule="exact"/>
              <w:jc w:val="center"/>
              <w:rPr>
                <w:rFonts w:ascii="Arial" w:hAnsi="Arial" w:cs="Arial"/>
                <w:szCs w:val="21"/>
              </w:rPr>
            </w:pPr>
            <w:r>
              <w:rPr>
                <w:rFonts w:ascii="Arial" w:hAnsi="Arial" w:cs="Arial"/>
                <w:szCs w:val="21"/>
              </w:rPr>
              <w:t>1</w:t>
            </w:r>
            <w:r>
              <w:rPr>
                <w:rFonts w:hint="eastAsia" w:ascii="Arial" w:hAnsi="Arial" w:cs="Arial"/>
                <w:szCs w:val="21"/>
                <w:lang w:val="en-US" w:eastAsia="zh-CN"/>
              </w:rPr>
              <w:t>0</w:t>
            </w:r>
            <w:r>
              <w:rPr>
                <w:rFonts w:ascii="Arial" w:hAnsi="Arial" w:cs="Arial"/>
                <w:szCs w:val="21"/>
              </w:rPr>
              <w:t>.00</w:t>
            </w:r>
          </w:p>
        </w:tc>
        <w:tc>
          <w:tcPr>
            <w:tcW w:w="876" w:type="pct"/>
            <w:shd w:val="clear" w:color="auto" w:fill="auto"/>
            <w:noWrap/>
            <w:vAlign w:val="bottom"/>
          </w:tcPr>
          <w:p>
            <w:pPr>
              <w:spacing w:line="440" w:lineRule="exact"/>
              <w:jc w:val="center"/>
              <w:rPr>
                <w:rFonts w:hint="default" w:ascii="Arial" w:hAnsi="Arial" w:eastAsia="宋体" w:cs="Arial"/>
                <w:szCs w:val="21"/>
                <w:lang w:val="en-US" w:eastAsia="zh-CN"/>
              </w:rPr>
            </w:pPr>
            <w:r>
              <w:rPr>
                <w:rFonts w:hint="eastAsia" w:ascii="Arial" w:hAnsi="Arial" w:cs="Arial"/>
                <w:szCs w:val="21"/>
                <w:lang w:val="en-US" w:eastAsia="zh-CN"/>
              </w:rPr>
              <w:t>15.22</w:t>
            </w:r>
          </w:p>
        </w:tc>
      </w:tr>
    </w:tbl>
    <w:p>
      <w:pPr>
        <w:rPr>
          <w:szCs w:val="21"/>
        </w:rPr>
      </w:pPr>
    </w:p>
    <w:sectPr>
      <w:footerReference r:id="rId17"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7</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7</w:t>
                    </w:r>
                    <w:r>
                      <w:rPr>
                        <w:rFonts w:ascii="Arial" w:hAnsi="Arial" w:cs="Arial"/>
                        <w:szCs w:val="21"/>
                      </w:rPr>
                      <w:fldChar w:fldCharType="end"/>
                    </w:r>
                    <w:r>
                      <w:rPr>
                        <w:rFonts w:ascii="Arial" w:hAnsi="Arial" w:cs="Arial"/>
                        <w:szCs w:val="21"/>
                      </w:rPr>
                      <w:t xml:space="preserve"> of 12</w:t>
                    </w:r>
                  </w:p>
                </w:txbxContent>
              </v:textbox>
            </v:shape>
          </w:pict>
        </mc:Fallback>
      </mc:AlternateContent>
    </w: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24</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24</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v:textbox>
            </v:shape>
          </w:pict>
        </mc:Fallback>
      </mc:AlternateContent>
    </w: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w:t>
        </w:r>
        <w:r>
          <w:rPr>
            <w:rFonts w:hint="eastAsia" w:ascii="Arial" w:hAnsi="Arial" w:eastAsia="华文仿宋" w:cs="Arial"/>
            <w:bCs/>
            <w:szCs w:val="21"/>
            <w:u w:val="single"/>
            <w:lang w:val="en-US" w:eastAsia="zh-CN"/>
          </w:rPr>
          <w:t>5</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49C08"/>
    <w:multiLevelType w:val="singleLevel"/>
    <w:tmpl w:val="B0749C08"/>
    <w:lvl w:ilvl="0" w:tentative="0">
      <w:start w:val="1"/>
      <w:numFmt w:val="decimal"/>
      <w:suff w:val="space"/>
      <w:lvlText w:val="%1."/>
      <w:lvlJc w:val="left"/>
    </w:lvl>
  </w:abstractNum>
  <w:abstractNum w:abstractNumId="1">
    <w:nsid w:val="D86A4265"/>
    <w:multiLevelType w:val="singleLevel"/>
    <w:tmpl w:val="D86A4265"/>
    <w:lvl w:ilvl="0" w:tentative="0">
      <w:start w:val="1"/>
      <w:numFmt w:val="decimal"/>
      <w:suff w:val="nothing"/>
      <w:lvlText w:val="（%1）"/>
      <w:lvlJc w:val="left"/>
    </w:lvl>
  </w:abstractNum>
  <w:abstractNum w:abstractNumId="2">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9FF038"/>
    <w:multiLevelType w:val="singleLevel"/>
    <w:tmpl w:val="629FF03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D83932"/>
    <w:rsid w:val="07D979A3"/>
    <w:rsid w:val="07DC02AB"/>
    <w:rsid w:val="07E75B7B"/>
    <w:rsid w:val="07F76B46"/>
    <w:rsid w:val="07F97C3C"/>
    <w:rsid w:val="080843BC"/>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405B5C"/>
    <w:rsid w:val="0B61121C"/>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83A36"/>
    <w:rsid w:val="0C6D07D3"/>
    <w:rsid w:val="0C700F07"/>
    <w:rsid w:val="0C8059EA"/>
    <w:rsid w:val="0C824CD6"/>
    <w:rsid w:val="0C9B482A"/>
    <w:rsid w:val="0C9C71F5"/>
    <w:rsid w:val="0C9F6BA0"/>
    <w:rsid w:val="0CB33FBA"/>
    <w:rsid w:val="0CBA5A14"/>
    <w:rsid w:val="0CDD0B31"/>
    <w:rsid w:val="0CEC4603"/>
    <w:rsid w:val="0CED62DF"/>
    <w:rsid w:val="0D11555D"/>
    <w:rsid w:val="0D197EDC"/>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1B586E"/>
    <w:rsid w:val="162043D9"/>
    <w:rsid w:val="162B41F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B001D8A"/>
    <w:rsid w:val="1B0C48C0"/>
    <w:rsid w:val="1B1C7150"/>
    <w:rsid w:val="1B3975B9"/>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CD31B3"/>
    <w:rsid w:val="27F16544"/>
    <w:rsid w:val="28157257"/>
    <w:rsid w:val="28240D9D"/>
    <w:rsid w:val="28246EBE"/>
    <w:rsid w:val="284253F0"/>
    <w:rsid w:val="28463B60"/>
    <w:rsid w:val="284E1E16"/>
    <w:rsid w:val="28561837"/>
    <w:rsid w:val="285E762D"/>
    <w:rsid w:val="28653744"/>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973818"/>
    <w:rsid w:val="299858AE"/>
    <w:rsid w:val="29A52DC6"/>
    <w:rsid w:val="29B90F7C"/>
    <w:rsid w:val="29BC2E46"/>
    <w:rsid w:val="29BE5E0F"/>
    <w:rsid w:val="29D33CE1"/>
    <w:rsid w:val="29DF69D3"/>
    <w:rsid w:val="29E75960"/>
    <w:rsid w:val="29EC5DEE"/>
    <w:rsid w:val="29F82AAD"/>
    <w:rsid w:val="2A100623"/>
    <w:rsid w:val="2A2271BC"/>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ED165D"/>
    <w:rsid w:val="2D0333E4"/>
    <w:rsid w:val="2D055BC9"/>
    <w:rsid w:val="2D0E6A40"/>
    <w:rsid w:val="2D0F43C0"/>
    <w:rsid w:val="2D2D3ABF"/>
    <w:rsid w:val="2D433FCE"/>
    <w:rsid w:val="2D4A6F8F"/>
    <w:rsid w:val="2D621B66"/>
    <w:rsid w:val="2D6C1A12"/>
    <w:rsid w:val="2D6C3957"/>
    <w:rsid w:val="2DA26A1D"/>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C11FFD"/>
    <w:rsid w:val="33C36FC8"/>
    <w:rsid w:val="33EC33D9"/>
    <w:rsid w:val="33FB4F60"/>
    <w:rsid w:val="340143AB"/>
    <w:rsid w:val="34480FDE"/>
    <w:rsid w:val="345D2213"/>
    <w:rsid w:val="346B7402"/>
    <w:rsid w:val="346D496D"/>
    <w:rsid w:val="34803F14"/>
    <w:rsid w:val="348E108C"/>
    <w:rsid w:val="3498527D"/>
    <w:rsid w:val="34AA6024"/>
    <w:rsid w:val="34B11D74"/>
    <w:rsid w:val="34CE227C"/>
    <w:rsid w:val="34CE754E"/>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9B4CB9"/>
    <w:rsid w:val="49AD657B"/>
    <w:rsid w:val="49B82C60"/>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107CBE"/>
    <w:rsid w:val="551A3FA6"/>
    <w:rsid w:val="55203A95"/>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5645E8"/>
    <w:rsid w:val="585B74FE"/>
    <w:rsid w:val="585E7225"/>
    <w:rsid w:val="58636A0D"/>
    <w:rsid w:val="58783BC0"/>
    <w:rsid w:val="5885563D"/>
    <w:rsid w:val="58866036"/>
    <w:rsid w:val="58893325"/>
    <w:rsid w:val="589168E0"/>
    <w:rsid w:val="58927D3A"/>
    <w:rsid w:val="58971D99"/>
    <w:rsid w:val="589A0F0C"/>
    <w:rsid w:val="58AA05CF"/>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9D7557"/>
    <w:rsid w:val="60A771DD"/>
    <w:rsid w:val="60B748CF"/>
    <w:rsid w:val="6104385A"/>
    <w:rsid w:val="610A3608"/>
    <w:rsid w:val="612D3875"/>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E425C8"/>
    <w:rsid w:val="69FD7A0A"/>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E4D25"/>
    <w:rsid w:val="726F1AF6"/>
    <w:rsid w:val="7279178C"/>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Char"/>
    <w:link w:val="2"/>
    <w:qFormat/>
    <w:uiPriority w:val="0"/>
    <w:rPr>
      <w:rFonts w:ascii="Arial Unicode MS" w:hAnsi="Arial Unicode MS" w:eastAsia="黑体"/>
      <w:b/>
      <w:bCs/>
      <w:kern w:val="44"/>
      <w:sz w:val="21"/>
      <w:szCs w:val="44"/>
    </w:rPr>
  </w:style>
  <w:style w:type="character" w:customStyle="1" w:styleId="36">
    <w:name w:val="标题 2 Char"/>
    <w:link w:val="3"/>
    <w:qFormat/>
    <w:uiPriority w:val="0"/>
    <w:rPr>
      <w:rFonts w:ascii="Cambria" w:hAnsi="Cambria" w:eastAsia="黑体"/>
      <w:bCs/>
      <w:kern w:val="2"/>
      <w:sz w:val="21"/>
      <w:szCs w:val="32"/>
    </w:rPr>
  </w:style>
  <w:style w:type="character" w:customStyle="1" w:styleId="37">
    <w:name w:val="标题 3 Char"/>
    <w:basedOn w:val="27"/>
    <w:link w:val="4"/>
    <w:qFormat/>
    <w:uiPriority w:val="0"/>
    <w:rPr>
      <w:rFonts w:ascii="Arial Unicode MS" w:hAnsi="Arial Unicode MS" w:eastAsia="黑体"/>
      <w:bCs/>
      <w:kern w:val="2"/>
      <w:sz w:val="21"/>
      <w:szCs w:val="32"/>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14.xml"/><Relationship Id="rId33" Type="http://schemas.openxmlformats.org/officeDocument/2006/relationships/chart" Target="charts/chart13.xml"/><Relationship Id="rId32" Type="http://schemas.openxmlformats.org/officeDocument/2006/relationships/chart" Target="charts/chart12.xml"/><Relationship Id="rId31" Type="http://schemas.openxmlformats.org/officeDocument/2006/relationships/chart" Target="charts/chart11.xml"/><Relationship Id="rId30" Type="http://schemas.openxmlformats.org/officeDocument/2006/relationships/chart" Target="charts/chart10.xml"/><Relationship Id="rId3" Type="http://schemas.openxmlformats.org/officeDocument/2006/relationships/footnotes" Target="footnotes.xml"/><Relationship Id="rId29" Type="http://schemas.openxmlformats.org/officeDocument/2006/relationships/chart" Target="charts/chart9.xml"/><Relationship Id="rId28" Type="http://schemas.openxmlformats.org/officeDocument/2006/relationships/chart" Target="charts/chart8.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5</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Sheet1!$B$2:$B$13</c:f>
              <c:numCache>
                <c:formatCode>General</c:formatCode>
                <c:ptCount val="12"/>
                <c:pt idx="0">
                  <c:v>0.499</c:v>
                </c:pt>
                <c:pt idx="1">
                  <c:v>2.54</c:v>
                </c:pt>
                <c:pt idx="2">
                  <c:v>1.13</c:v>
                </c:pt>
                <c:pt idx="3">
                  <c:v>1.03</c:v>
                </c:pt>
                <c:pt idx="4">
                  <c:v>0.823</c:v>
                </c:pt>
                <c:pt idx="5">
                  <c:v>0.967</c:v>
                </c:pt>
                <c:pt idx="6">
                  <c:v>0.785</c:v>
                </c:pt>
                <c:pt idx="7">
                  <c:v>1.13</c:v>
                </c:pt>
                <c:pt idx="8">
                  <c:v>0.935</c:v>
                </c:pt>
                <c:pt idx="9">
                  <c:v>1.53</c:v>
                </c:pt>
                <c:pt idx="10">
                  <c:v>0.843</c:v>
                </c:pt>
                <c:pt idx="11">
                  <c:v>0.986</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Sheet1!$C$2:$C$13</c:f>
              <c:numCache>
                <c:formatCode>General</c:formatCode>
                <c:ptCount val="12"/>
                <c:pt idx="0">
                  <c:v>3</c:v>
                </c:pt>
                <c:pt idx="1">
                  <c:v>3</c:v>
                </c:pt>
                <c:pt idx="2">
                  <c:v>3</c:v>
                </c:pt>
                <c:pt idx="3">
                  <c:v>3</c:v>
                </c:pt>
                <c:pt idx="4">
                  <c:v>3</c:v>
                </c:pt>
                <c:pt idx="5">
                  <c:v>3</c:v>
                </c:pt>
                <c:pt idx="6">
                  <c:v>3</c:v>
                </c:pt>
                <c:pt idx="7">
                  <c:v>3</c:v>
                </c:pt>
                <c:pt idx="8">
                  <c:v>3</c:v>
                </c:pt>
                <c:pt idx="9">
                  <c:v>3</c:v>
                </c:pt>
                <c:pt idx="10">
                  <c:v>3</c:v>
                </c:pt>
                <c:pt idx="11">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Sheet1!$D$2:$D$13</c:f>
              <c:numCache>
                <c:formatCode>General</c:formatCode>
                <c:ptCount val="12"/>
                <c:pt idx="0">
                  <c:v>1.099</c:v>
                </c:pt>
                <c:pt idx="1">
                  <c:v>1.099</c:v>
                </c:pt>
                <c:pt idx="2">
                  <c:v>1.099</c:v>
                </c:pt>
                <c:pt idx="3">
                  <c:v>1.099</c:v>
                </c:pt>
                <c:pt idx="4">
                  <c:v>1.099</c:v>
                </c:pt>
                <c:pt idx="5">
                  <c:v>1.099</c:v>
                </c:pt>
                <c:pt idx="6">
                  <c:v>1.099</c:v>
                </c:pt>
                <c:pt idx="7">
                  <c:v>1.099</c:v>
                </c:pt>
                <c:pt idx="8">
                  <c:v>1.099</c:v>
                </c:pt>
                <c:pt idx="9">
                  <c:v>1.099</c:v>
                </c:pt>
                <c:pt idx="10">
                  <c:v>1.099</c:v>
                </c:pt>
                <c:pt idx="11">
                  <c:v>1.099</c:v>
                </c:pt>
              </c:numCache>
            </c:numRef>
          </c:val>
          <c:smooth val="0"/>
        </c:ser>
        <c:dLbls>
          <c:showLegendKey val="0"/>
          <c:showVal val="0"/>
          <c:showCatName val="0"/>
          <c:showSerName val="0"/>
          <c:showPercent val="0"/>
          <c:showBubbleSize val="0"/>
        </c:dLbls>
        <c:marker val="0"/>
        <c:smooth val="0"/>
        <c:axId val="349909496"/>
        <c:axId val="349906752"/>
      </c:lineChart>
      <c:dateAx>
        <c:axId val="349909496"/>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06752"/>
        <c:crosses val="autoZero"/>
        <c:auto val="0"/>
        <c:lblOffset val="100"/>
        <c:baseTimeUnit val="days"/>
      </c:dateAx>
      <c:valAx>
        <c:axId val="349906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09496"/>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0.72</c:v>
                </c:pt>
                <c:pt idx="21">
                  <c:v>1.41</c:v>
                </c:pt>
                <c:pt idx="22">
                  <c:v>1.46</c:v>
                </c:pt>
                <c:pt idx="23">
                  <c:v>1.67</c:v>
                </c:pt>
                <c:pt idx="24">
                  <c:v>1.61</c:v>
                </c:pt>
                <c:pt idx="25">
                  <c:v>0.51</c:v>
                </c:pt>
                <c:pt idx="26">
                  <c:v>0</c:v>
                </c:pt>
                <c:pt idx="27">
                  <c:v>0.23</c:v>
                </c:pt>
                <c:pt idx="28">
                  <c:v>1.23</c:v>
                </c:pt>
                <c:pt idx="29">
                  <c:v>0.48</c:v>
                </c:pt>
                <c:pt idx="30">
                  <c:v>0.26</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a:sp3d contourW="22225"/>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0.38</c:v>
                </c:pt>
                <c:pt idx="1">
                  <c:v>0.38</c:v>
                </c:pt>
                <c:pt idx="2">
                  <c:v>0.38</c:v>
                </c:pt>
                <c:pt idx="3">
                  <c:v>0.38</c:v>
                </c:pt>
                <c:pt idx="4">
                  <c:v>0.38</c:v>
                </c:pt>
                <c:pt idx="5">
                  <c:v>0.38</c:v>
                </c:pt>
                <c:pt idx="6">
                  <c:v>0.38</c:v>
                </c:pt>
                <c:pt idx="7">
                  <c:v>0.38</c:v>
                </c:pt>
                <c:pt idx="8">
                  <c:v>0.38</c:v>
                </c:pt>
                <c:pt idx="9">
                  <c:v>0.38</c:v>
                </c:pt>
                <c:pt idx="10">
                  <c:v>0.38</c:v>
                </c:pt>
                <c:pt idx="11">
                  <c:v>0.38</c:v>
                </c:pt>
                <c:pt idx="12">
                  <c:v>0.38</c:v>
                </c:pt>
                <c:pt idx="13">
                  <c:v>0.38</c:v>
                </c:pt>
                <c:pt idx="14">
                  <c:v>0.38</c:v>
                </c:pt>
                <c:pt idx="15">
                  <c:v>0.38</c:v>
                </c:pt>
                <c:pt idx="16">
                  <c:v>0.38</c:v>
                </c:pt>
                <c:pt idx="17">
                  <c:v>0.38</c:v>
                </c:pt>
                <c:pt idx="18">
                  <c:v>0.38</c:v>
                </c:pt>
                <c:pt idx="19">
                  <c:v>0.38</c:v>
                </c:pt>
                <c:pt idx="20">
                  <c:v>0.38</c:v>
                </c:pt>
                <c:pt idx="21">
                  <c:v>0.38</c:v>
                </c:pt>
                <c:pt idx="22">
                  <c:v>0.38</c:v>
                </c:pt>
                <c:pt idx="23">
                  <c:v>0.38</c:v>
                </c:pt>
                <c:pt idx="24">
                  <c:v>0.38</c:v>
                </c:pt>
                <c:pt idx="25">
                  <c:v>0.38</c:v>
                </c:pt>
                <c:pt idx="26">
                  <c:v>0.38</c:v>
                </c:pt>
                <c:pt idx="27">
                  <c:v>0.38</c:v>
                </c:pt>
                <c:pt idx="28">
                  <c:v>0.38</c:v>
                </c:pt>
                <c:pt idx="29">
                  <c:v>0.38</c:v>
                </c:pt>
                <c:pt idx="30">
                  <c:v>0.38</c:v>
                </c:pt>
              </c:numCache>
            </c:numRef>
          </c:val>
          <c:smooth val="0"/>
        </c:ser>
        <c:dLbls>
          <c:showLegendKey val="0"/>
          <c:showVal val="0"/>
          <c:showCatName val="0"/>
          <c:showSerName val="0"/>
          <c:showPercent val="0"/>
          <c:showBubbleSize val="0"/>
        </c:dLbls>
        <c:marker val="0"/>
        <c:smooth val="0"/>
        <c:axId val="344258360"/>
        <c:axId val="516948400"/>
      </c:lineChart>
      <c:dateAx>
        <c:axId val="34425836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16948400"/>
        <c:crosses val="autoZero"/>
        <c:auto val="1"/>
        <c:lblOffset val="100"/>
        <c:baseTimeUnit val="days"/>
        <c:majorUnit val="1"/>
        <c:majorTimeUnit val="days"/>
      </c:dateAx>
      <c:valAx>
        <c:axId val="516948400"/>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42583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7.85</c:v>
                </c:pt>
                <c:pt idx="1">
                  <c:v>7.81</c:v>
                </c:pt>
                <c:pt idx="2">
                  <c:v>7.92</c:v>
                </c:pt>
                <c:pt idx="3">
                  <c:v>7.99</c:v>
                </c:pt>
                <c:pt idx="4">
                  <c:v>7.88</c:v>
                </c:pt>
                <c:pt idx="5">
                  <c:v>7.94</c:v>
                </c:pt>
                <c:pt idx="6">
                  <c:v>8.03</c:v>
                </c:pt>
                <c:pt idx="7">
                  <c:v>7.85</c:v>
                </c:pt>
                <c:pt idx="8">
                  <c:v>7.91</c:v>
                </c:pt>
                <c:pt idx="9">
                  <c:v>7.94</c:v>
                </c:pt>
                <c:pt idx="10">
                  <c:v>7.6</c:v>
                </c:pt>
                <c:pt idx="11">
                  <c:v>7.54</c:v>
                </c:pt>
                <c:pt idx="12">
                  <c:v>7.19</c:v>
                </c:pt>
                <c:pt idx="13">
                  <c:v>7.82</c:v>
                </c:pt>
                <c:pt idx="14">
                  <c:v>7.55</c:v>
                </c:pt>
                <c:pt idx="15">
                  <c:v>7.76</c:v>
                </c:pt>
                <c:pt idx="16">
                  <c:v>7.89</c:v>
                </c:pt>
                <c:pt idx="17">
                  <c:v>7.94</c:v>
                </c:pt>
                <c:pt idx="18">
                  <c:v>7.77</c:v>
                </c:pt>
                <c:pt idx="19">
                  <c:v>8.14</c:v>
                </c:pt>
                <c:pt idx="20">
                  <c:v>7.6</c:v>
                </c:pt>
                <c:pt idx="21">
                  <c:v>7.52</c:v>
                </c:pt>
                <c:pt idx="22">
                  <c:v>7.59</c:v>
                </c:pt>
                <c:pt idx="23">
                  <c:v>7.77</c:v>
                </c:pt>
                <c:pt idx="24">
                  <c:v>7.67</c:v>
                </c:pt>
                <c:pt idx="25">
                  <c:v>7.62</c:v>
                </c:pt>
                <c:pt idx="26">
                  <c:v>7.45</c:v>
                </c:pt>
                <c:pt idx="27">
                  <c:v>7.4</c:v>
                </c:pt>
                <c:pt idx="28">
                  <c:v>7.94</c:v>
                </c:pt>
                <c:pt idx="29">
                  <c:v>7.87</c:v>
                </c:pt>
                <c:pt idx="30">
                  <c:v>7.77</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516940952"/>
        <c:axId val="516945656"/>
      </c:lineChart>
      <c:dateAx>
        <c:axId val="51694095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16945656"/>
        <c:crosses val="autoZero"/>
        <c:auto val="1"/>
        <c:lblOffset val="100"/>
        <c:baseTimeUnit val="days"/>
        <c:majorUnit val="1"/>
        <c:majorTimeUnit val="days"/>
      </c:dateAx>
      <c:valAx>
        <c:axId val="516945656"/>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169409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8283717408857"/>
          <c:y val="0.0217703028925246"/>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22</c:v>
                </c:pt>
                <c:pt idx="1">
                  <c:v>19</c:v>
                </c:pt>
                <c:pt idx="2">
                  <c:v>14</c:v>
                </c:pt>
                <c:pt idx="3">
                  <c:v>18</c:v>
                </c:pt>
                <c:pt idx="4">
                  <c:v>24</c:v>
                </c:pt>
                <c:pt idx="5">
                  <c:v>25</c:v>
                </c:pt>
                <c:pt idx="6">
                  <c:v>21</c:v>
                </c:pt>
                <c:pt idx="7">
                  <c:v>21</c:v>
                </c:pt>
                <c:pt idx="8">
                  <c:v>34</c:v>
                </c:pt>
                <c:pt idx="9">
                  <c:v>25</c:v>
                </c:pt>
                <c:pt idx="10">
                  <c:v>47</c:v>
                </c:pt>
                <c:pt idx="11">
                  <c:v>25</c:v>
                </c:pt>
                <c:pt idx="12">
                  <c:v>20</c:v>
                </c:pt>
                <c:pt idx="13">
                  <c:v>21</c:v>
                </c:pt>
                <c:pt idx="14">
                  <c:v>45</c:v>
                </c:pt>
                <c:pt idx="15">
                  <c:v>41</c:v>
                </c:pt>
                <c:pt idx="16">
                  <c:v>44</c:v>
                </c:pt>
                <c:pt idx="17">
                  <c:v>34</c:v>
                </c:pt>
                <c:pt idx="18">
                  <c:v>36</c:v>
                </c:pt>
                <c:pt idx="19">
                  <c:v>21</c:v>
                </c:pt>
                <c:pt idx="20">
                  <c:v>51</c:v>
                </c:pt>
                <c:pt idx="21">
                  <c:v>44</c:v>
                </c:pt>
                <c:pt idx="22">
                  <c:v>16</c:v>
                </c:pt>
                <c:pt idx="23">
                  <c:v>26</c:v>
                </c:pt>
                <c:pt idx="24">
                  <c:v>15</c:v>
                </c:pt>
                <c:pt idx="25">
                  <c:v>45</c:v>
                </c:pt>
                <c:pt idx="26">
                  <c:v>43</c:v>
                </c:pt>
                <c:pt idx="27">
                  <c:v>30</c:v>
                </c:pt>
                <c:pt idx="28">
                  <c:v>35</c:v>
                </c:pt>
                <c:pt idx="29">
                  <c:v>27</c:v>
                </c:pt>
                <c:pt idx="30">
                  <c:v>27</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29.5</c:v>
                </c:pt>
                <c:pt idx="1">
                  <c:v>29.5</c:v>
                </c:pt>
                <c:pt idx="2">
                  <c:v>29.5</c:v>
                </c:pt>
                <c:pt idx="3">
                  <c:v>29.5</c:v>
                </c:pt>
                <c:pt idx="4">
                  <c:v>29.5</c:v>
                </c:pt>
                <c:pt idx="5">
                  <c:v>29.5</c:v>
                </c:pt>
                <c:pt idx="6">
                  <c:v>29.5</c:v>
                </c:pt>
                <c:pt idx="7">
                  <c:v>29.5</c:v>
                </c:pt>
                <c:pt idx="8">
                  <c:v>29.5</c:v>
                </c:pt>
                <c:pt idx="9">
                  <c:v>29.5</c:v>
                </c:pt>
                <c:pt idx="10">
                  <c:v>29.5</c:v>
                </c:pt>
                <c:pt idx="11">
                  <c:v>29.5</c:v>
                </c:pt>
                <c:pt idx="12">
                  <c:v>29.5</c:v>
                </c:pt>
                <c:pt idx="13">
                  <c:v>29.5</c:v>
                </c:pt>
                <c:pt idx="14">
                  <c:v>29.5</c:v>
                </c:pt>
                <c:pt idx="15">
                  <c:v>29.5</c:v>
                </c:pt>
                <c:pt idx="16">
                  <c:v>29.5</c:v>
                </c:pt>
                <c:pt idx="17">
                  <c:v>29.5</c:v>
                </c:pt>
                <c:pt idx="18">
                  <c:v>29.5</c:v>
                </c:pt>
                <c:pt idx="19">
                  <c:v>29.5</c:v>
                </c:pt>
                <c:pt idx="20">
                  <c:v>29.5</c:v>
                </c:pt>
                <c:pt idx="21">
                  <c:v>29.5</c:v>
                </c:pt>
                <c:pt idx="22">
                  <c:v>29.5</c:v>
                </c:pt>
                <c:pt idx="23">
                  <c:v>29.5</c:v>
                </c:pt>
                <c:pt idx="24">
                  <c:v>29.5</c:v>
                </c:pt>
                <c:pt idx="25">
                  <c:v>29.5</c:v>
                </c:pt>
                <c:pt idx="26">
                  <c:v>29.5</c:v>
                </c:pt>
                <c:pt idx="27">
                  <c:v>29.5</c:v>
                </c:pt>
                <c:pt idx="28">
                  <c:v>29.5</c:v>
                </c:pt>
                <c:pt idx="29">
                  <c:v>29.5</c:v>
                </c:pt>
                <c:pt idx="30">
                  <c:v>29.5</c:v>
                </c:pt>
              </c:numCache>
            </c:numRef>
          </c:val>
          <c:smooth val="0"/>
        </c:ser>
        <c:dLbls>
          <c:showLegendKey val="0"/>
          <c:showVal val="0"/>
          <c:showCatName val="0"/>
          <c:showSerName val="0"/>
          <c:showPercent val="0"/>
          <c:showBubbleSize val="0"/>
        </c:dLbls>
        <c:marker val="0"/>
        <c:smooth val="0"/>
        <c:axId val="421741648"/>
        <c:axId val="347307872"/>
      </c:lineChart>
      <c:dateAx>
        <c:axId val="4217416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347307872"/>
        <c:crosses val="autoZero"/>
        <c:auto val="1"/>
        <c:lblOffset val="100"/>
        <c:baseTimeUnit val="days"/>
        <c:majorUnit val="1"/>
        <c:majorTimeUnit val="days"/>
      </c:dateAx>
      <c:valAx>
        <c:axId val="347307872"/>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1741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0</c:v>
                </c:pt>
                <c:pt idx="1">
                  <c:v>0</c:v>
                </c:pt>
                <c:pt idx="2">
                  <c:v>0</c:v>
                </c:pt>
                <c:pt idx="3">
                  <c:v>0</c:v>
                </c:pt>
                <c:pt idx="4">
                  <c:v>0</c:v>
                </c:pt>
                <c:pt idx="5">
                  <c:v>0</c:v>
                </c:pt>
                <c:pt idx="6">
                  <c:v>0</c:v>
                </c:pt>
                <c:pt idx="7">
                  <c:v>0</c:v>
                </c:pt>
                <c:pt idx="8">
                  <c:v>0</c:v>
                </c:pt>
                <c:pt idx="9">
                  <c:v>0.11</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0.27</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0.11</c:v>
                </c:pt>
                <c:pt idx="1">
                  <c:v>0.11</c:v>
                </c:pt>
                <c:pt idx="2">
                  <c:v>0.11</c:v>
                </c:pt>
                <c:pt idx="3">
                  <c:v>0.11</c:v>
                </c:pt>
                <c:pt idx="4">
                  <c:v>0.11</c:v>
                </c:pt>
                <c:pt idx="5">
                  <c:v>0.11</c:v>
                </c:pt>
                <c:pt idx="6">
                  <c:v>0.11</c:v>
                </c:pt>
                <c:pt idx="7">
                  <c:v>0.11</c:v>
                </c:pt>
                <c:pt idx="8">
                  <c:v>0.11</c:v>
                </c:pt>
                <c:pt idx="9">
                  <c:v>0.11</c:v>
                </c:pt>
                <c:pt idx="10">
                  <c:v>0.11</c:v>
                </c:pt>
                <c:pt idx="11">
                  <c:v>0.11</c:v>
                </c:pt>
                <c:pt idx="12">
                  <c:v>0.11</c:v>
                </c:pt>
                <c:pt idx="13">
                  <c:v>0.11</c:v>
                </c:pt>
                <c:pt idx="14">
                  <c:v>0.11</c:v>
                </c:pt>
                <c:pt idx="15">
                  <c:v>0.11</c:v>
                </c:pt>
                <c:pt idx="16">
                  <c:v>0.11</c:v>
                </c:pt>
                <c:pt idx="17">
                  <c:v>0.11</c:v>
                </c:pt>
                <c:pt idx="18">
                  <c:v>0.11</c:v>
                </c:pt>
                <c:pt idx="19">
                  <c:v>0.11</c:v>
                </c:pt>
                <c:pt idx="20">
                  <c:v>0.11</c:v>
                </c:pt>
                <c:pt idx="21">
                  <c:v>0.11</c:v>
                </c:pt>
                <c:pt idx="22">
                  <c:v>0.11</c:v>
                </c:pt>
                <c:pt idx="23">
                  <c:v>0.11</c:v>
                </c:pt>
                <c:pt idx="24">
                  <c:v>0.11</c:v>
                </c:pt>
                <c:pt idx="25">
                  <c:v>0.11</c:v>
                </c:pt>
                <c:pt idx="26">
                  <c:v>0.11</c:v>
                </c:pt>
                <c:pt idx="27">
                  <c:v>0.11</c:v>
                </c:pt>
                <c:pt idx="28">
                  <c:v>0.11</c:v>
                </c:pt>
                <c:pt idx="29">
                  <c:v>0.11</c:v>
                </c:pt>
                <c:pt idx="30">
                  <c:v>0.11</c:v>
                </c:pt>
              </c:numCache>
            </c:numRef>
          </c:val>
          <c:smooth val="0"/>
        </c:ser>
        <c:dLbls>
          <c:showLegendKey val="0"/>
          <c:showVal val="0"/>
          <c:showCatName val="0"/>
          <c:showSerName val="0"/>
          <c:showPercent val="0"/>
          <c:showBubbleSize val="0"/>
        </c:dLbls>
        <c:marker val="0"/>
        <c:smooth val="0"/>
        <c:axId val="198189848"/>
        <c:axId val="198190240"/>
      </c:lineChart>
      <c:dateAx>
        <c:axId val="1981898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198190240"/>
        <c:crosses val="autoZero"/>
        <c:auto val="1"/>
        <c:lblOffset val="100"/>
        <c:baseTimeUnit val="days"/>
        <c:majorUnit val="1"/>
        <c:majorTimeUnit val="days"/>
      </c:dateAx>
      <c:valAx>
        <c:axId val="198190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1981898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5</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30353416"/>
        <c:axId val="530352632"/>
      </c:lineChart>
      <c:dateAx>
        <c:axId val="5303534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30352632"/>
        <c:crosses val="autoZero"/>
        <c:auto val="1"/>
        <c:lblOffset val="100"/>
        <c:baseTimeUnit val="days"/>
      </c:dateAx>
      <c:valAx>
        <c:axId val="530352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3035341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5</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5775957298"/>
          <c:y val="0.25040975877541"/>
          <c:w val="0.88307139649753"/>
          <c:h val="0.418401707374911"/>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Sheet1!$B$2:$B$13</c:f>
              <c:numCache>
                <c:formatCode>General</c:formatCode>
                <c:ptCount val="12"/>
                <c:pt idx="0">
                  <c:v>7.28</c:v>
                </c:pt>
                <c:pt idx="1">
                  <c:v>7.14</c:v>
                </c:pt>
                <c:pt idx="2">
                  <c:v>7.31</c:v>
                </c:pt>
                <c:pt idx="3">
                  <c:v>7.13</c:v>
                </c:pt>
                <c:pt idx="4">
                  <c:v>7.17</c:v>
                </c:pt>
                <c:pt idx="5">
                  <c:v>7.15</c:v>
                </c:pt>
                <c:pt idx="6">
                  <c:v>6.81</c:v>
                </c:pt>
                <c:pt idx="7">
                  <c:v>6.94</c:v>
                </c:pt>
                <c:pt idx="8">
                  <c:v>6.72</c:v>
                </c:pt>
                <c:pt idx="9">
                  <c:v>7.73</c:v>
                </c:pt>
                <c:pt idx="10">
                  <c:v>7.17</c:v>
                </c:pt>
                <c:pt idx="11">
                  <c:v>6.73</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Sheet1!$C$2:$C$13</c:f>
              <c:numCache>
                <c:formatCode>General</c:formatCode>
                <c:ptCount val="12"/>
                <c:pt idx="0">
                  <c:v>8.5</c:v>
                </c:pt>
                <c:pt idx="1">
                  <c:v>8.5</c:v>
                </c:pt>
                <c:pt idx="2">
                  <c:v>8.5</c:v>
                </c:pt>
                <c:pt idx="3">
                  <c:v>8.5</c:v>
                </c:pt>
                <c:pt idx="4">
                  <c:v>8.5</c:v>
                </c:pt>
                <c:pt idx="5">
                  <c:v>8.5</c:v>
                </c:pt>
                <c:pt idx="6">
                  <c:v>8.5</c:v>
                </c:pt>
                <c:pt idx="7">
                  <c:v>8.5</c:v>
                </c:pt>
                <c:pt idx="8">
                  <c:v>8.5</c:v>
                </c:pt>
                <c:pt idx="9">
                  <c:v>8.5</c:v>
                </c:pt>
                <c:pt idx="10">
                  <c:v>8.5</c:v>
                </c:pt>
                <c:pt idx="11">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Sheet1!$A$2:$A$13</c:f>
              <c:numCache>
                <c:formatCode>yyyy/m/d;@</c:formatCode>
                <c:ptCount val="12"/>
                <c:pt idx="0" c:formatCode="yyyy/m/d;@">
                  <c:v>44684</c:v>
                </c:pt>
                <c:pt idx="1" c:formatCode="yyyy/m/d;@">
                  <c:v>44686</c:v>
                </c:pt>
                <c:pt idx="2" c:formatCode="yyyy/m/d;@">
                  <c:v>44688</c:v>
                </c:pt>
                <c:pt idx="3" c:formatCode="yyyy/m/d;@">
                  <c:v>44691</c:v>
                </c:pt>
                <c:pt idx="4" c:formatCode="yyyy/m/d;@">
                  <c:v>44693</c:v>
                </c:pt>
                <c:pt idx="5" c:formatCode="yyyy/m/d;@">
                  <c:v>44695</c:v>
                </c:pt>
                <c:pt idx="6" c:formatCode="yyyy/m/d;@">
                  <c:v>44698</c:v>
                </c:pt>
                <c:pt idx="7" c:formatCode="yyyy/m/d;@">
                  <c:v>44701</c:v>
                </c:pt>
                <c:pt idx="8" c:formatCode="yyyy/m/d;@">
                  <c:v>44705</c:v>
                </c:pt>
                <c:pt idx="9" c:formatCode="yyyy/m/d;@">
                  <c:v>44707</c:v>
                </c:pt>
                <c:pt idx="10" c:formatCode="yyyy/m/d;@">
                  <c:v>44709</c:v>
                </c:pt>
                <c:pt idx="11" c:formatCode="yyyy/m/d;@">
                  <c:v>44712</c:v>
                </c:pt>
              </c:numCache>
            </c:numRef>
          </c:cat>
          <c:val>
            <c:numRef>
              <c:f>Sheet1!$D$2:$D$13</c:f>
              <c:numCache>
                <c:formatCode>General</c:formatCode>
                <c:ptCount val="12"/>
                <c:pt idx="0">
                  <c:v>6.5</c:v>
                </c:pt>
                <c:pt idx="1">
                  <c:v>6.5</c:v>
                </c:pt>
                <c:pt idx="2">
                  <c:v>6.5</c:v>
                </c:pt>
                <c:pt idx="3">
                  <c:v>6.5</c:v>
                </c:pt>
                <c:pt idx="4">
                  <c:v>6.5</c:v>
                </c:pt>
                <c:pt idx="5">
                  <c:v>6.5</c:v>
                </c:pt>
                <c:pt idx="6">
                  <c:v>6.5</c:v>
                </c:pt>
                <c:pt idx="7">
                  <c:v>6.5</c:v>
                </c:pt>
                <c:pt idx="8">
                  <c:v>6.5</c:v>
                </c:pt>
                <c:pt idx="9">
                  <c:v>6.5</c:v>
                </c:pt>
                <c:pt idx="10">
                  <c:v>6.5</c:v>
                </c:pt>
                <c:pt idx="11">
                  <c:v>6.5</c:v>
                </c:pt>
              </c:numCache>
            </c:numRef>
          </c:val>
          <c:smooth val="0"/>
        </c:ser>
        <c:dLbls>
          <c:showLegendKey val="0"/>
          <c:showVal val="0"/>
          <c:showCatName val="0"/>
          <c:showSerName val="0"/>
          <c:showPercent val="0"/>
          <c:showBubbleSize val="0"/>
        </c:dLbls>
        <c:marker val="0"/>
        <c:smooth val="0"/>
        <c:axId val="349910672"/>
        <c:axId val="349911064"/>
      </c:lineChart>
      <c:dateAx>
        <c:axId val="349910672"/>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11064"/>
        <c:crosses val="autoZero"/>
        <c:auto val="0"/>
        <c:lblOffset val="100"/>
        <c:baseTimeUnit val="days"/>
      </c:dateAx>
      <c:valAx>
        <c:axId val="349911064"/>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10672"/>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Sheet1!$B$2:$B$20</c:f>
              <c:numCache>
                <c:formatCode>0.00</c:formatCode>
                <c:ptCount val="19"/>
                <c:pt idx="0">
                  <c:v>8.759</c:v>
                </c:pt>
                <c:pt idx="1">
                  <c:v>8.805</c:v>
                </c:pt>
                <c:pt idx="2">
                  <c:v>8.79</c:v>
                </c:pt>
                <c:pt idx="3">
                  <c:v>8.805</c:v>
                </c:pt>
                <c:pt idx="4">
                  <c:v>8.81</c:v>
                </c:pt>
                <c:pt idx="5">
                  <c:v>8.753</c:v>
                </c:pt>
                <c:pt idx="6">
                  <c:v>8.801</c:v>
                </c:pt>
                <c:pt idx="7">
                  <c:v>8.801</c:v>
                </c:pt>
                <c:pt idx="8">
                  <c:v>8.74</c:v>
                </c:pt>
                <c:pt idx="9">
                  <c:v>8.767</c:v>
                </c:pt>
                <c:pt idx="10">
                  <c:v>8.769</c:v>
                </c:pt>
                <c:pt idx="11">
                  <c:v>8.81</c:v>
                </c:pt>
                <c:pt idx="12">
                  <c:v>8.789</c:v>
                </c:pt>
                <c:pt idx="13">
                  <c:v>8.787</c:v>
                </c:pt>
                <c:pt idx="14">
                  <c:v>8.801</c:v>
                </c:pt>
                <c:pt idx="15">
                  <c:v>8.876</c:v>
                </c:pt>
                <c:pt idx="16">
                  <c:v>8.839</c:v>
                </c:pt>
                <c:pt idx="17">
                  <c:v>8.851</c:v>
                </c:pt>
                <c:pt idx="18">
                  <c:v>8.815</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Sheet1!$C$2:$C$20</c:f>
              <c:numCache>
                <c:formatCode>0.00</c:formatCode>
                <c:ptCount val="19"/>
                <c:pt idx="0">
                  <c:v>8.329</c:v>
                </c:pt>
                <c:pt idx="1">
                  <c:v>8.31</c:v>
                </c:pt>
                <c:pt idx="2">
                  <c:v>7.789</c:v>
                </c:pt>
                <c:pt idx="3">
                  <c:v>8.259</c:v>
                </c:pt>
                <c:pt idx="4">
                  <c:v>8.215</c:v>
                </c:pt>
                <c:pt idx="5">
                  <c:v>8.401</c:v>
                </c:pt>
                <c:pt idx="6">
                  <c:v>8.337</c:v>
                </c:pt>
                <c:pt idx="7">
                  <c:v>8.325</c:v>
                </c:pt>
                <c:pt idx="8">
                  <c:v>8.186</c:v>
                </c:pt>
                <c:pt idx="9">
                  <c:v>8.251</c:v>
                </c:pt>
                <c:pt idx="10">
                  <c:v>8.147</c:v>
                </c:pt>
                <c:pt idx="11">
                  <c:v>8.301</c:v>
                </c:pt>
                <c:pt idx="12">
                  <c:v>8.289</c:v>
                </c:pt>
                <c:pt idx="13">
                  <c:v>8.289</c:v>
                </c:pt>
                <c:pt idx="14">
                  <c:v>8.31</c:v>
                </c:pt>
                <c:pt idx="15">
                  <c:v>8.259</c:v>
                </c:pt>
                <c:pt idx="16">
                  <c:v>8.269</c:v>
                </c:pt>
                <c:pt idx="17">
                  <c:v>8.255</c:v>
                </c:pt>
                <c:pt idx="18">
                  <c:v>8.3131</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Sheet1!$D$2:$D$20</c:f>
              <c:numCache>
                <c:formatCode>0.00</c:formatCode>
                <c:ptCount val="19"/>
                <c:pt idx="0">
                  <c:v>7.899</c:v>
                </c:pt>
                <c:pt idx="1">
                  <c:v>8.171</c:v>
                </c:pt>
                <c:pt idx="2">
                  <c:v>7.829</c:v>
                </c:pt>
                <c:pt idx="3">
                  <c:v>7.979</c:v>
                </c:pt>
                <c:pt idx="4">
                  <c:v>7.878</c:v>
                </c:pt>
                <c:pt idx="5">
                  <c:v>7.972</c:v>
                </c:pt>
                <c:pt idx="6">
                  <c:v>7.739</c:v>
                </c:pt>
                <c:pt idx="7">
                  <c:v>7.989</c:v>
                </c:pt>
                <c:pt idx="8">
                  <c:v>8.192</c:v>
                </c:pt>
                <c:pt idx="9">
                  <c:v>7.959</c:v>
                </c:pt>
                <c:pt idx="10">
                  <c:v>8.068</c:v>
                </c:pt>
                <c:pt idx="11">
                  <c:v>7.959</c:v>
                </c:pt>
                <c:pt idx="12">
                  <c:v>7.989</c:v>
                </c:pt>
                <c:pt idx="13">
                  <c:v>7.982</c:v>
                </c:pt>
                <c:pt idx="14">
                  <c:v>8.004</c:v>
                </c:pt>
                <c:pt idx="15">
                  <c:v>7.905</c:v>
                </c:pt>
                <c:pt idx="16">
                  <c:v>8.017</c:v>
                </c:pt>
                <c:pt idx="17">
                  <c:v>7.973</c:v>
                </c:pt>
                <c:pt idx="18">
                  <c:v>8.051</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Sheet1!$E$2:$E$20</c:f>
              <c:numCache>
                <c:formatCode>General</c:formatCode>
                <c:ptCount val="19"/>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numCache>
            </c:numRef>
          </c:val>
          <c:smooth val="0"/>
        </c:ser>
        <c:dLbls>
          <c:showLegendKey val="0"/>
          <c:showVal val="0"/>
          <c:showCatName val="0"/>
          <c:showSerName val="0"/>
          <c:showPercent val="0"/>
          <c:showBubbleSize val="0"/>
        </c:dLbls>
        <c:marker val="0"/>
        <c:smooth val="0"/>
        <c:axId val="349909888"/>
        <c:axId val="349907144"/>
      </c:lineChart>
      <c:dateAx>
        <c:axId val="34990988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07144"/>
        <c:crosses val="autoZero"/>
        <c:auto val="1"/>
        <c:lblOffset val="100"/>
        <c:baseTimeUnit val="days"/>
      </c:dateAx>
      <c:valAx>
        <c:axId val="349907144"/>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098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Sheet1!$B$2:$B$20</c:f>
              <c:numCache>
                <c:formatCode>General</c:formatCode>
                <c:ptCount val="19"/>
                <c:pt idx="0">
                  <c:v>256</c:v>
                </c:pt>
                <c:pt idx="1">
                  <c:v>270</c:v>
                </c:pt>
                <c:pt idx="2">
                  <c:v>250</c:v>
                </c:pt>
                <c:pt idx="3">
                  <c:v>250</c:v>
                </c:pt>
                <c:pt idx="4">
                  <c:v>256</c:v>
                </c:pt>
                <c:pt idx="5">
                  <c:v>252</c:v>
                </c:pt>
                <c:pt idx="6">
                  <c:v>260</c:v>
                </c:pt>
                <c:pt idx="7">
                  <c:v>268</c:v>
                </c:pt>
                <c:pt idx="8">
                  <c:v>271</c:v>
                </c:pt>
                <c:pt idx="9">
                  <c:v>274</c:v>
                </c:pt>
                <c:pt idx="10">
                  <c:v>269</c:v>
                </c:pt>
                <c:pt idx="11">
                  <c:v>268</c:v>
                </c:pt>
                <c:pt idx="12">
                  <c:v>260</c:v>
                </c:pt>
                <c:pt idx="13">
                  <c:v>234</c:v>
                </c:pt>
                <c:pt idx="14">
                  <c:v>222</c:v>
                </c:pt>
                <c:pt idx="15">
                  <c:v>230</c:v>
                </c:pt>
                <c:pt idx="16">
                  <c:v>234</c:v>
                </c:pt>
                <c:pt idx="17">
                  <c:v>240</c:v>
                </c:pt>
                <c:pt idx="18">
                  <c:v>246</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Sheet1!$C$2:$C$20</c:f>
              <c:numCache>
                <c:formatCode>0</c:formatCode>
                <c:ptCount val="19"/>
                <c:pt idx="0">
                  <c:v>3</c:v>
                </c:pt>
                <c:pt idx="1">
                  <c:v>3</c:v>
                </c:pt>
                <c:pt idx="2">
                  <c:v>3</c:v>
                </c:pt>
                <c:pt idx="3">
                  <c:v>4</c:v>
                </c:pt>
                <c:pt idx="4">
                  <c:v>3</c:v>
                </c:pt>
                <c:pt idx="5">
                  <c:v>3</c:v>
                </c:pt>
                <c:pt idx="6">
                  <c:v>3</c:v>
                </c:pt>
                <c:pt idx="7">
                  <c:v>3</c:v>
                </c:pt>
                <c:pt idx="8">
                  <c:v>2</c:v>
                </c:pt>
                <c:pt idx="9">
                  <c:v>3</c:v>
                </c:pt>
                <c:pt idx="10">
                  <c:v>2</c:v>
                </c:pt>
                <c:pt idx="11">
                  <c:v>3</c:v>
                </c:pt>
                <c:pt idx="12">
                  <c:v>2</c:v>
                </c:pt>
                <c:pt idx="13">
                  <c:v>2</c:v>
                </c:pt>
                <c:pt idx="14">
                  <c:v>2</c:v>
                </c:pt>
                <c:pt idx="15">
                  <c:v>2</c:v>
                </c:pt>
                <c:pt idx="16">
                  <c:v>2</c:v>
                </c:pt>
                <c:pt idx="17">
                  <c:v>2</c:v>
                </c:pt>
                <c:pt idx="18">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Sheet1!$D$2:$D$20</c:f>
              <c:numCache>
                <c:formatCode>0.00</c:formatCode>
                <c:ptCount val="19"/>
                <c:pt idx="0">
                  <c:v>32</c:v>
                </c:pt>
                <c:pt idx="1">
                  <c:v>30</c:v>
                </c:pt>
                <c:pt idx="2">
                  <c:v>30</c:v>
                </c:pt>
                <c:pt idx="3">
                  <c:v>38</c:v>
                </c:pt>
                <c:pt idx="4">
                  <c:v>36</c:v>
                </c:pt>
                <c:pt idx="5">
                  <c:v>34</c:v>
                </c:pt>
                <c:pt idx="6">
                  <c:v>30</c:v>
                </c:pt>
                <c:pt idx="7">
                  <c:v>36</c:v>
                </c:pt>
                <c:pt idx="8">
                  <c:v>20</c:v>
                </c:pt>
                <c:pt idx="9">
                  <c:v>28</c:v>
                </c:pt>
                <c:pt idx="10">
                  <c:v>24</c:v>
                </c:pt>
                <c:pt idx="11">
                  <c:v>24</c:v>
                </c:pt>
                <c:pt idx="12">
                  <c:v>36</c:v>
                </c:pt>
                <c:pt idx="13">
                  <c:v>40</c:v>
                </c:pt>
                <c:pt idx="14">
                  <c:v>38</c:v>
                </c:pt>
                <c:pt idx="15">
                  <c:v>36</c:v>
                </c:pt>
                <c:pt idx="16">
                  <c:v>36</c:v>
                </c:pt>
                <c:pt idx="17">
                  <c:v>36</c:v>
                </c:pt>
                <c:pt idx="18">
                  <c:v>34</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Sheet1!$E$2:$E$20</c:f>
              <c:numCache>
                <c:formatCode>General</c:formatCode>
                <c:ptCount val="19"/>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numCache>
            </c:numRef>
          </c:val>
          <c:smooth val="0"/>
        </c:ser>
        <c:dLbls>
          <c:showLegendKey val="0"/>
          <c:showVal val="0"/>
          <c:showCatName val="0"/>
          <c:showSerName val="0"/>
          <c:showPercent val="0"/>
          <c:showBubbleSize val="0"/>
        </c:dLbls>
        <c:marker val="0"/>
        <c:smooth val="0"/>
        <c:axId val="349907536"/>
        <c:axId val="419344832"/>
      </c:lineChart>
      <c:dateAx>
        <c:axId val="34990753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44832"/>
        <c:crosses val="autoZero"/>
        <c:auto val="1"/>
        <c:lblOffset val="100"/>
        <c:baseTimeUnit val="days"/>
      </c:dateAx>
      <c:valAx>
        <c:axId val="4193448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99075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Sheet1!$B$2:$B$20</c:f>
              <c:numCache>
                <c:formatCode>0.0</c:formatCode>
                <c:ptCount val="19"/>
                <c:pt idx="0">
                  <c:v>3.29</c:v>
                </c:pt>
                <c:pt idx="1">
                  <c:v>3.44</c:v>
                </c:pt>
                <c:pt idx="2">
                  <c:v>3.68</c:v>
                </c:pt>
                <c:pt idx="3">
                  <c:v>3.98</c:v>
                </c:pt>
                <c:pt idx="4">
                  <c:v>4.06</c:v>
                </c:pt>
                <c:pt idx="5">
                  <c:v>4.22</c:v>
                </c:pt>
                <c:pt idx="6">
                  <c:v>4.05</c:v>
                </c:pt>
                <c:pt idx="7">
                  <c:v>4.06</c:v>
                </c:pt>
                <c:pt idx="8">
                  <c:v>4.39</c:v>
                </c:pt>
                <c:pt idx="9">
                  <c:v>3.77</c:v>
                </c:pt>
                <c:pt idx="10">
                  <c:v>3.92</c:v>
                </c:pt>
                <c:pt idx="11">
                  <c:v>3.79</c:v>
                </c:pt>
                <c:pt idx="12">
                  <c:v>3.27</c:v>
                </c:pt>
                <c:pt idx="13">
                  <c:v>2.75</c:v>
                </c:pt>
                <c:pt idx="14">
                  <c:v>2.91</c:v>
                </c:pt>
                <c:pt idx="15">
                  <c:v>3.03</c:v>
                </c:pt>
                <c:pt idx="16">
                  <c:v>3.13</c:v>
                </c:pt>
                <c:pt idx="17">
                  <c:v>3.31</c:v>
                </c:pt>
                <c:pt idx="18">
                  <c:v>3.5</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Sheet1!$C$2:$C$20</c:f>
              <c:numCache>
                <c:formatCode>0.0</c:formatCode>
                <c:ptCount val="19"/>
                <c:pt idx="0">
                  <c:v>0.843</c:v>
                </c:pt>
                <c:pt idx="1">
                  <c:v>2.07</c:v>
                </c:pt>
                <c:pt idx="2">
                  <c:v>2.07</c:v>
                </c:pt>
                <c:pt idx="3">
                  <c:v>0.627</c:v>
                </c:pt>
                <c:pt idx="4">
                  <c:v>4.06</c:v>
                </c:pt>
                <c:pt idx="5">
                  <c:v>1.11</c:v>
                </c:pt>
                <c:pt idx="6">
                  <c:v>1.01</c:v>
                </c:pt>
                <c:pt idx="7">
                  <c:v>0.224</c:v>
                </c:pt>
                <c:pt idx="8">
                  <c:v>0.345</c:v>
                </c:pt>
                <c:pt idx="9">
                  <c:v>2.46</c:v>
                </c:pt>
                <c:pt idx="10">
                  <c:v>1.13</c:v>
                </c:pt>
                <c:pt idx="11">
                  <c:v>0.595</c:v>
                </c:pt>
                <c:pt idx="12">
                  <c:v>0.359</c:v>
                </c:pt>
                <c:pt idx="13">
                  <c:v>0.378</c:v>
                </c:pt>
                <c:pt idx="14">
                  <c:v>0.71</c:v>
                </c:pt>
                <c:pt idx="15">
                  <c:v>0.689</c:v>
                </c:pt>
                <c:pt idx="16">
                  <c:v>0.977</c:v>
                </c:pt>
                <c:pt idx="17">
                  <c:v>0.682</c:v>
                </c:pt>
                <c:pt idx="18">
                  <c:v>0.654</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Sheet1!$D$2:$D$20</c:f>
              <c:numCache>
                <c:formatCode>0.00</c:formatCode>
                <c:ptCount val="19"/>
                <c:pt idx="0">
                  <c:v>2.73</c:v>
                </c:pt>
                <c:pt idx="1">
                  <c:v>2.85</c:v>
                </c:pt>
                <c:pt idx="2">
                  <c:v>2.9</c:v>
                </c:pt>
                <c:pt idx="3">
                  <c:v>2.8</c:v>
                </c:pt>
                <c:pt idx="4">
                  <c:v>2.42</c:v>
                </c:pt>
                <c:pt idx="5">
                  <c:v>2.21</c:v>
                </c:pt>
                <c:pt idx="6">
                  <c:v>2.22</c:v>
                </c:pt>
                <c:pt idx="7">
                  <c:v>2.27</c:v>
                </c:pt>
                <c:pt idx="8">
                  <c:v>2.76</c:v>
                </c:pt>
                <c:pt idx="9">
                  <c:v>2.31</c:v>
                </c:pt>
                <c:pt idx="10">
                  <c:v>2.57</c:v>
                </c:pt>
                <c:pt idx="11">
                  <c:v>1.5</c:v>
                </c:pt>
                <c:pt idx="12">
                  <c:v>2.27</c:v>
                </c:pt>
                <c:pt idx="13">
                  <c:v>2.43</c:v>
                </c:pt>
                <c:pt idx="14">
                  <c:v>3.13</c:v>
                </c:pt>
                <c:pt idx="15">
                  <c:v>3.03</c:v>
                </c:pt>
                <c:pt idx="16">
                  <c:v>2.83</c:v>
                </c:pt>
                <c:pt idx="17">
                  <c:v>2.5</c:v>
                </c:pt>
                <c:pt idx="18">
                  <c:v>3</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Sheet1!$E$2:$E$20</c:f>
              <c:numCache>
                <c:formatCode>General</c:formatCode>
                <c:ptCount val="19"/>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numCache>
            </c:numRef>
          </c:val>
          <c:smooth val="0"/>
        </c:ser>
        <c:dLbls>
          <c:showLegendKey val="0"/>
          <c:showVal val="0"/>
          <c:showCatName val="0"/>
          <c:showSerName val="0"/>
          <c:showPercent val="0"/>
          <c:showBubbleSize val="0"/>
        </c:dLbls>
        <c:marker val="0"/>
        <c:smooth val="0"/>
        <c:axId val="419346792"/>
        <c:axId val="419339344"/>
      </c:lineChart>
      <c:dateAx>
        <c:axId val="41934679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39344"/>
        <c:crosses val="autoZero"/>
        <c:auto val="1"/>
        <c:lblOffset val="100"/>
        <c:baseTimeUnit val="days"/>
        <c:majorUnit val="1"/>
        <c:majorTimeUnit val="days"/>
      </c:dateAx>
      <c:valAx>
        <c:axId val="419339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467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Sheet1!$B$2:$B$20</c:f>
              <c:numCache>
                <c:formatCode>0.00</c:formatCode>
                <c:ptCount val="19"/>
                <c:pt idx="0">
                  <c:v>0.24</c:v>
                </c:pt>
                <c:pt idx="1">
                  <c:v>0.34</c:v>
                </c:pt>
                <c:pt idx="2">
                  <c:v>0.27</c:v>
                </c:pt>
                <c:pt idx="3">
                  <c:v>0.29</c:v>
                </c:pt>
                <c:pt idx="4">
                  <c:v>0.26</c:v>
                </c:pt>
                <c:pt idx="5">
                  <c:v>0.27</c:v>
                </c:pt>
                <c:pt idx="6">
                  <c:v>0.25</c:v>
                </c:pt>
                <c:pt idx="7">
                  <c:v>0.23</c:v>
                </c:pt>
                <c:pt idx="8">
                  <c:v>0.32</c:v>
                </c:pt>
                <c:pt idx="9">
                  <c:v>0.3</c:v>
                </c:pt>
                <c:pt idx="10">
                  <c:v>0.29</c:v>
                </c:pt>
                <c:pt idx="11">
                  <c:v>0.28</c:v>
                </c:pt>
                <c:pt idx="12">
                  <c:v>0.3</c:v>
                </c:pt>
                <c:pt idx="13">
                  <c:v>0.31</c:v>
                </c:pt>
                <c:pt idx="14">
                  <c:v>0.28</c:v>
                </c:pt>
                <c:pt idx="15">
                  <c:v>0.32</c:v>
                </c:pt>
                <c:pt idx="16">
                  <c:v>0.3</c:v>
                </c:pt>
                <c:pt idx="17">
                  <c:v>0.29</c:v>
                </c:pt>
                <c:pt idx="18">
                  <c:v>0.32</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Sheet1!$C$2:$C$20</c:f>
              <c:numCache>
                <c:formatCode>0.00</c:formatCode>
                <c:ptCount val="19"/>
                <c:pt idx="0">
                  <c:v>0.04</c:v>
                </c:pt>
                <c:pt idx="1">
                  <c:v>0.22</c:v>
                </c:pt>
                <c:pt idx="2">
                  <c:v>0.07</c:v>
                </c:pt>
                <c:pt idx="3">
                  <c:v>0.04</c:v>
                </c:pt>
                <c:pt idx="4">
                  <c:v>0.06</c:v>
                </c:pt>
                <c:pt idx="5">
                  <c:v>0.05</c:v>
                </c:pt>
                <c:pt idx="6">
                  <c:v>0.07</c:v>
                </c:pt>
                <c:pt idx="7">
                  <c:v>0.02</c:v>
                </c:pt>
                <c:pt idx="8">
                  <c:v>0.02</c:v>
                </c:pt>
                <c:pt idx="9">
                  <c:v>0.07</c:v>
                </c:pt>
                <c:pt idx="10">
                  <c:v>0.08</c:v>
                </c:pt>
                <c:pt idx="11">
                  <c:v>0.03</c:v>
                </c:pt>
                <c:pt idx="12">
                  <c:v>0.1</c:v>
                </c:pt>
                <c:pt idx="13">
                  <c:v>0.08</c:v>
                </c:pt>
                <c:pt idx="14">
                  <c:v>0.07</c:v>
                </c:pt>
                <c:pt idx="15">
                  <c:v>0.06</c:v>
                </c:pt>
                <c:pt idx="16">
                  <c:v>0.07</c:v>
                </c:pt>
                <c:pt idx="17">
                  <c:v>0.06</c:v>
                </c:pt>
                <c:pt idx="18">
                  <c:v>0.08</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Sheet1!$D$2:$D$20</c:f>
              <c:numCache>
                <c:formatCode>0.00</c:formatCode>
                <c:ptCount val="19"/>
                <c:pt idx="0">
                  <c:v>0.18</c:v>
                </c:pt>
                <c:pt idx="1">
                  <c:v>0.16</c:v>
                </c:pt>
                <c:pt idx="2">
                  <c:v>0.15</c:v>
                </c:pt>
                <c:pt idx="3">
                  <c:v>0.19</c:v>
                </c:pt>
                <c:pt idx="4">
                  <c:v>0.18</c:v>
                </c:pt>
                <c:pt idx="5">
                  <c:v>0.18</c:v>
                </c:pt>
                <c:pt idx="6">
                  <c:v>0.21</c:v>
                </c:pt>
                <c:pt idx="7">
                  <c:v>0.15</c:v>
                </c:pt>
                <c:pt idx="8">
                  <c:v>0.18</c:v>
                </c:pt>
                <c:pt idx="9">
                  <c:v>0.16</c:v>
                </c:pt>
                <c:pt idx="10">
                  <c:v>0.18</c:v>
                </c:pt>
                <c:pt idx="11">
                  <c:v>0.17</c:v>
                </c:pt>
                <c:pt idx="12">
                  <c:v>0.15</c:v>
                </c:pt>
                <c:pt idx="13">
                  <c:v>0.21</c:v>
                </c:pt>
                <c:pt idx="14">
                  <c:v>0.17</c:v>
                </c:pt>
                <c:pt idx="15">
                  <c:v>0.15</c:v>
                </c:pt>
                <c:pt idx="16">
                  <c:v>0.16</c:v>
                </c:pt>
                <c:pt idx="17">
                  <c:v>0.21</c:v>
                </c:pt>
                <c:pt idx="18">
                  <c:v>0.24</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Sheet1!$E$2:$E$20</c:f>
              <c:numCache>
                <c:formatCode>General</c:formatCode>
                <c:ptCount val="1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numCache>
            </c:numRef>
          </c:val>
          <c:smooth val="0"/>
        </c:ser>
        <c:dLbls>
          <c:showLegendKey val="0"/>
          <c:showVal val="0"/>
          <c:showCatName val="0"/>
          <c:showSerName val="0"/>
          <c:showPercent val="0"/>
          <c:showBubbleSize val="0"/>
        </c:dLbls>
        <c:marker val="0"/>
        <c:smooth val="0"/>
        <c:axId val="419341304"/>
        <c:axId val="419340128"/>
      </c:lineChart>
      <c:dateAx>
        <c:axId val="41934130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40128"/>
        <c:crosses val="autoZero"/>
        <c:auto val="1"/>
        <c:lblOffset val="100"/>
        <c:baseTimeUnit val="days"/>
      </c:dateAx>
      <c:valAx>
        <c:axId val="419340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413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Sheet1!$B$2:$B$20</c:f>
              <c:numCache>
                <c:formatCode>0.00</c:formatCode>
                <c:ptCount val="19"/>
                <c:pt idx="0">
                  <c:v>0.46</c:v>
                </c:pt>
                <c:pt idx="1">
                  <c:v>0.48</c:v>
                </c:pt>
                <c:pt idx="2">
                  <c:v>0.47</c:v>
                </c:pt>
                <c:pt idx="3">
                  <c:v>0.5</c:v>
                </c:pt>
                <c:pt idx="4">
                  <c:v>0.52</c:v>
                </c:pt>
                <c:pt idx="5">
                  <c:v>0.54</c:v>
                </c:pt>
                <c:pt idx="6">
                  <c:v>0.53</c:v>
                </c:pt>
                <c:pt idx="7">
                  <c:v>0.53</c:v>
                </c:pt>
                <c:pt idx="8">
                  <c:v>0.49</c:v>
                </c:pt>
                <c:pt idx="9">
                  <c:v>0.5</c:v>
                </c:pt>
                <c:pt idx="10">
                  <c:v>0.48</c:v>
                </c:pt>
                <c:pt idx="11">
                  <c:v>0.49</c:v>
                </c:pt>
                <c:pt idx="12">
                  <c:v>0.45</c:v>
                </c:pt>
                <c:pt idx="13">
                  <c:v>0.48</c:v>
                </c:pt>
                <c:pt idx="14">
                  <c:v>0.49</c:v>
                </c:pt>
                <c:pt idx="15">
                  <c:v>0.4</c:v>
                </c:pt>
                <c:pt idx="16">
                  <c:v>0.42</c:v>
                </c:pt>
                <c:pt idx="17">
                  <c:v>0.45</c:v>
                </c:pt>
                <c:pt idx="18">
                  <c:v>0.4</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Sheet1!$C$2:$C$20</c:f>
              <c:numCache>
                <c:formatCode>General</c:formatCode>
                <c:ptCount val="19"/>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Sheet1!$A$2:$A$20</c:f>
              <c:numCache>
                <c:formatCode>yyyy/m/d;@</c:formatCode>
                <c:ptCount val="19"/>
                <c:pt idx="0" c:formatCode="yyyy/m/d;@">
                  <c:v>44683</c:v>
                </c:pt>
                <c:pt idx="1" c:formatCode="yyyy/m/d;@">
                  <c:v>44686</c:v>
                </c:pt>
                <c:pt idx="2" c:formatCode="yyyy/m/d;@">
                  <c:v>44687</c:v>
                </c:pt>
                <c:pt idx="3" c:formatCode="yyyy/m/d;@">
                  <c:v>44690</c:v>
                </c:pt>
                <c:pt idx="4" c:formatCode="yyyy/m/d;@">
                  <c:v>44691</c:v>
                </c:pt>
                <c:pt idx="5" c:formatCode="yyyy/m/d;@">
                  <c:v>44692</c:v>
                </c:pt>
                <c:pt idx="6" c:formatCode="yyyy/m/d;@">
                  <c:v>44693</c:v>
                </c:pt>
                <c:pt idx="7" c:formatCode="yyyy/m/d;@">
                  <c:v>44694</c:v>
                </c:pt>
                <c:pt idx="8" c:formatCode="yyyy/m/d;@">
                  <c:v>44697</c:v>
                </c:pt>
                <c:pt idx="9" c:formatCode="yyyy/m/d;@">
                  <c:v>44698</c:v>
                </c:pt>
                <c:pt idx="10" c:formatCode="yyyy/m/d;@">
                  <c:v>44699</c:v>
                </c:pt>
                <c:pt idx="11" c:formatCode="yyyy/m/d;@">
                  <c:v>44700</c:v>
                </c:pt>
                <c:pt idx="12" c:formatCode="yyyy/m/d;@">
                  <c:v>44701</c:v>
                </c:pt>
                <c:pt idx="13" c:formatCode="yyyy/m/d;@">
                  <c:v>44704</c:v>
                </c:pt>
                <c:pt idx="14" c:formatCode="yyyy/m/d;@">
                  <c:v>44705</c:v>
                </c:pt>
                <c:pt idx="15" c:formatCode="yyyy/m/d;@">
                  <c:v>44706</c:v>
                </c:pt>
                <c:pt idx="16" c:formatCode="yyyy/m/d;@">
                  <c:v>44707</c:v>
                </c:pt>
                <c:pt idx="17" c:formatCode="yyyy/m/d;@">
                  <c:v>44708</c:v>
                </c:pt>
                <c:pt idx="18" c:formatCode="yyyy/m/d;@">
                  <c:v>44711</c:v>
                </c:pt>
              </c:numCache>
            </c:numRef>
          </c:cat>
          <c:val>
            <c:numRef>
              <c:f>Sheet1!$D$2:$D$20</c:f>
              <c:numCache>
                <c:formatCode>General</c:formatCode>
                <c:ptCount val="19"/>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numCache>
            </c:numRef>
          </c:val>
          <c:smooth val="0"/>
        </c:ser>
        <c:dLbls>
          <c:showLegendKey val="0"/>
          <c:showVal val="0"/>
          <c:showCatName val="0"/>
          <c:showSerName val="0"/>
          <c:showPercent val="0"/>
          <c:showBubbleSize val="0"/>
        </c:dLbls>
        <c:marker val="0"/>
        <c:smooth val="0"/>
        <c:axId val="419341696"/>
        <c:axId val="344255224"/>
      </c:lineChart>
      <c:dateAx>
        <c:axId val="41934169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4255224"/>
        <c:crosses val="autoZero"/>
        <c:auto val="1"/>
        <c:lblOffset val="100"/>
        <c:baseTimeUnit val="days"/>
      </c:dateAx>
      <c:valAx>
        <c:axId val="344255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193416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8.03</c:v>
                </c:pt>
                <c:pt idx="1">
                  <c:v>8.16</c:v>
                </c:pt>
                <c:pt idx="2">
                  <c:v>8.12</c:v>
                </c:pt>
                <c:pt idx="3">
                  <c:v>8.12</c:v>
                </c:pt>
                <c:pt idx="4">
                  <c:v>8.17</c:v>
                </c:pt>
                <c:pt idx="5">
                  <c:v>8.33</c:v>
                </c:pt>
                <c:pt idx="6">
                  <c:v>8.24</c:v>
                </c:pt>
                <c:pt idx="7">
                  <c:v>8.13</c:v>
                </c:pt>
                <c:pt idx="8">
                  <c:v>8.11</c:v>
                </c:pt>
                <c:pt idx="9">
                  <c:v>8.05</c:v>
                </c:pt>
                <c:pt idx="10">
                  <c:v>7.79</c:v>
                </c:pt>
                <c:pt idx="11">
                  <c:v>7.96</c:v>
                </c:pt>
                <c:pt idx="12">
                  <c:v>7.58</c:v>
                </c:pt>
                <c:pt idx="13">
                  <c:v>8.04</c:v>
                </c:pt>
                <c:pt idx="14">
                  <c:v>7.98</c:v>
                </c:pt>
                <c:pt idx="15">
                  <c:v>8.09</c:v>
                </c:pt>
                <c:pt idx="16">
                  <c:v>8.17</c:v>
                </c:pt>
                <c:pt idx="17">
                  <c:v>8.22</c:v>
                </c:pt>
                <c:pt idx="18">
                  <c:v>7.81</c:v>
                </c:pt>
                <c:pt idx="19">
                  <c:v>7.79</c:v>
                </c:pt>
                <c:pt idx="20">
                  <c:v>7.58</c:v>
                </c:pt>
                <c:pt idx="21">
                  <c:v>7.8</c:v>
                </c:pt>
                <c:pt idx="22">
                  <c:v>7.67</c:v>
                </c:pt>
                <c:pt idx="23">
                  <c:v>7.75</c:v>
                </c:pt>
                <c:pt idx="24">
                  <c:v>7.66</c:v>
                </c:pt>
                <c:pt idx="25">
                  <c:v>7.84</c:v>
                </c:pt>
                <c:pt idx="26">
                  <c:v>7.79</c:v>
                </c:pt>
                <c:pt idx="27">
                  <c:v>7.76</c:v>
                </c:pt>
                <c:pt idx="28">
                  <c:v>7.42</c:v>
                </c:pt>
                <c:pt idx="29">
                  <c:v>7.72</c:v>
                </c:pt>
                <c:pt idx="30">
                  <c:v>8.13</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sp3d contourW="22225"/>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0"/>
        <c:smooth val="0"/>
        <c:axId val="344256008"/>
        <c:axId val="344253264"/>
      </c:lineChart>
      <c:dateAx>
        <c:axId val="344256008"/>
        <c:scaling>
          <c:orientation val="minMax"/>
        </c:scaling>
        <c:delete val="0"/>
        <c:axPos val="b"/>
        <c:numFmt formatCode="mm/dd/yy;@"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344253264"/>
        <c:crosses val="autoZero"/>
        <c:auto val="1"/>
        <c:lblOffset val="100"/>
        <c:baseTimeUnit val="days"/>
        <c:majorUnit val="1"/>
        <c:majorTimeUnit val="days"/>
      </c:dateAx>
      <c:valAx>
        <c:axId val="344253264"/>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42560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5</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Sheet1!$B$2:$B$32</c:f>
              <c:numCache>
                <c:formatCode>General</c:formatCode>
                <c:ptCount val="31"/>
                <c:pt idx="0">
                  <c:v>24</c:v>
                </c:pt>
                <c:pt idx="1">
                  <c:v>21</c:v>
                </c:pt>
                <c:pt idx="2">
                  <c:v>13</c:v>
                </c:pt>
                <c:pt idx="3">
                  <c:v>17</c:v>
                </c:pt>
                <c:pt idx="4">
                  <c:v>23</c:v>
                </c:pt>
                <c:pt idx="5">
                  <c:v>30</c:v>
                </c:pt>
                <c:pt idx="6">
                  <c:v>17</c:v>
                </c:pt>
                <c:pt idx="7">
                  <c:v>20</c:v>
                </c:pt>
                <c:pt idx="8">
                  <c:v>27</c:v>
                </c:pt>
                <c:pt idx="9">
                  <c:v>10</c:v>
                </c:pt>
                <c:pt idx="10">
                  <c:v>34</c:v>
                </c:pt>
                <c:pt idx="11">
                  <c:v>15</c:v>
                </c:pt>
                <c:pt idx="12">
                  <c:v>26</c:v>
                </c:pt>
                <c:pt idx="13">
                  <c:v>18</c:v>
                </c:pt>
                <c:pt idx="14">
                  <c:v>24</c:v>
                </c:pt>
                <c:pt idx="15">
                  <c:v>15</c:v>
                </c:pt>
                <c:pt idx="16">
                  <c:v>18</c:v>
                </c:pt>
                <c:pt idx="17">
                  <c:v>17</c:v>
                </c:pt>
                <c:pt idx="18">
                  <c:v>13</c:v>
                </c:pt>
                <c:pt idx="19">
                  <c:v>15</c:v>
                </c:pt>
                <c:pt idx="20">
                  <c:v>33</c:v>
                </c:pt>
                <c:pt idx="21">
                  <c:v>32</c:v>
                </c:pt>
                <c:pt idx="22">
                  <c:v>13</c:v>
                </c:pt>
                <c:pt idx="23">
                  <c:v>15</c:v>
                </c:pt>
                <c:pt idx="24">
                  <c:v>15</c:v>
                </c:pt>
                <c:pt idx="25">
                  <c:v>29</c:v>
                </c:pt>
                <c:pt idx="26">
                  <c:v>34</c:v>
                </c:pt>
                <c:pt idx="27">
                  <c:v>16</c:v>
                </c:pt>
                <c:pt idx="28">
                  <c:v>22</c:v>
                </c:pt>
                <c:pt idx="29">
                  <c:v>19</c:v>
                </c:pt>
                <c:pt idx="30">
                  <c:v>14</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44682</c:v>
                </c:pt>
                <c:pt idx="1" c:formatCode="yyyy/m/d;@">
                  <c:v>44683</c:v>
                </c:pt>
                <c:pt idx="2" c:formatCode="yyyy/m/d;@">
                  <c:v>44684</c:v>
                </c:pt>
                <c:pt idx="3" c:formatCode="yyyy/m/d;@">
                  <c:v>44685</c:v>
                </c:pt>
                <c:pt idx="4" c:formatCode="yyyy/m/d;@">
                  <c:v>44686</c:v>
                </c:pt>
                <c:pt idx="5" c:formatCode="yyyy/m/d;@">
                  <c:v>44687</c:v>
                </c:pt>
                <c:pt idx="6" c:formatCode="yyyy/m/d;@">
                  <c:v>44688</c:v>
                </c:pt>
                <c:pt idx="7" c:formatCode="yyyy/m/d;@">
                  <c:v>44689</c:v>
                </c:pt>
                <c:pt idx="8" c:formatCode="yyyy/m/d;@">
                  <c:v>44690</c:v>
                </c:pt>
                <c:pt idx="9" c:formatCode="yyyy/m/d;@">
                  <c:v>44691</c:v>
                </c:pt>
                <c:pt idx="10" c:formatCode="yyyy/m/d;@">
                  <c:v>44692</c:v>
                </c:pt>
                <c:pt idx="11" c:formatCode="yyyy/m/d;@">
                  <c:v>44693</c:v>
                </c:pt>
                <c:pt idx="12" c:formatCode="yyyy/m/d;@">
                  <c:v>44694</c:v>
                </c:pt>
                <c:pt idx="13" c:formatCode="yyyy/m/d;@">
                  <c:v>44695</c:v>
                </c:pt>
                <c:pt idx="14" c:formatCode="yyyy/m/d;@">
                  <c:v>44696</c:v>
                </c:pt>
                <c:pt idx="15" c:formatCode="yyyy/m/d;@">
                  <c:v>44697</c:v>
                </c:pt>
                <c:pt idx="16" c:formatCode="yyyy/m/d;@">
                  <c:v>44698</c:v>
                </c:pt>
                <c:pt idx="17" c:formatCode="yyyy/m/d;@">
                  <c:v>44699</c:v>
                </c:pt>
                <c:pt idx="18" c:formatCode="yyyy/m/d;@">
                  <c:v>44700</c:v>
                </c:pt>
                <c:pt idx="19" c:formatCode="yyyy/m/d;@">
                  <c:v>44701</c:v>
                </c:pt>
                <c:pt idx="20" c:formatCode="yyyy/m/d;@">
                  <c:v>44702</c:v>
                </c:pt>
                <c:pt idx="21" c:formatCode="yyyy/m/d;@">
                  <c:v>44703</c:v>
                </c:pt>
                <c:pt idx="22" c:formatCode="yyyy/m/d;@">
                  <c:v>44704</c:v>
                </c:pt>
                <c:pt idx="23" c:formatCode="yyyy/m/d;@">
                  <c:v>44705</c:v>
                </c:pt>
                <c:pt idx="24" c:formatCode="yyyy/m/d;@">
                  <c:v>44706</c:v>
                </c:pt>
                <c:pt idx="25" c:formatCode="yyyy/m/d;@">
                  <c:v>44707</c:v>
                </c:pt>
                <c:pt idx="26" c:formatCode="yyyy/m/d;@">
                  <c:v>44708</c:v>
                </c:pt>
                <c:pt idx="27" c:formatCode="yyyy/m/d;@">
                  <c:v>44709</c:v>
                </c:pt>
                <c:pt idx="28" c:formatCode="yyyy/m/d;@">
                  <c:v>44710</c:v>
                </c:pt>
                <c:pt idx="29" c:formatCode="yyyy/m/d;@">
                  <c:v>44711</c:v>
                </c:pt>
                <c:pt idx="30" c:formatCode="yyyy/m/d;@">
                  <c:v>44712</c:v>
                </c:pt>
              </c:numCache>
            </c:numRef>
          </c:cat>
          <c:val>
            <c:numRef>
              <c:f>Sheet1!$D$2:$D$32</c:f>
              <c:numCache>
                <c:formatCode>General</c:formatCode>
                <c:ptCount val="31"/>
                <c:pt idx="0">
                  <c:v>20.7</c:v>
                </c:pt>
                <c:pt idx="1">
                  <c:v>20.7</c:v>
                </c:pt>
                <c:pt idx="2">
                  <c:v>20.7</c:v>
                </c:pt>
                <c:pt idx="3">
                  <c:v>20.7</c:v>
                </c:pt>
                <c:pt idx="4">
                  <c:v>20.7</c:v>
                </c:pt>
                <c:pt idx="5">
                  <c:v>20.7</c:v>
                </c:pt>
                <c:pt idx="6">
                  <c:v>20.7</c:v>
                </c:pt>
                <c:pt idx="7">
                  <c:v>20.7</c:v>
                </c:pt>
                <c:pt idx="8">
                  <c:v>20.7</c:v>
                </c:pt>
                <c:pt idx="9">
                  <c:v>20.7</c:v>
                </c:pt>
                <c:pt idx="10">
                  <c:v>20.7</c:v>
                </c:pt>
                <c:pt idx="11">
                  <c:v>20.7</c:v>
                </c:pt>
                <c:pt idx="12">
                  <c:v>20.7</c:v>
                </c:pt>
                <c:pt idx="13">
                  <c:v>20.7</c:v>
                </c:pt>
                <c:pt idx="14">
                  <c:v>20.7</c:v>
                </c:pt>
                <c:pt idx="15">
                  <c:v>20.7</c:v>
                </c:pt>
                <c:pt idx="16">
                  <c:v>20.7</c:v>
                </c:pt>
                <c:pt idx="17">
                  <c:v>20.7</c:v>
                </c:pt>
                <c:pt idx="18">
                  <c:v>20.7</c:v>
                </c:pt>
                <c:pt idx="19">
                  <c:v>20.7</c:v>
                </c:pt>
                <c:pt idx="20">
                  <c:v>20.7</c:v>
                </c:pt>
                <c:pt idx="21">
                  <c:v>20.7</c:v>
                </c:pt>
                <c:pt idx="22">
                  <c:v>20.7</c:v>
                </c:pt>
                <c:pt idx="23">
                  <c:v>20.7</c:v>
                </c:pt>
                <c:pt idx="24">
                  <c:v>20.7</c:v>
                </c:pt>
                <c:pt idx="25">
                  <c:v>20.7</c:v>
                </c:pt>
                <c:pt idx="26">
                  <c:v>20.7</c:v>
                </c:pt>
                <c:pt idx="27">
                  <c:v>20.7</c:v>
                </c:pt>
                <c:pt idx="28">
                  <c:v>20.7</c:v>
                </c:pt>
                <c:pt idx="29">
                  <c:v>20.7</c:v>
                </c:pt>
                <c:pt idx="30">
                  <c:v>20.7</c:v>
                </c:pt>
              </c:numCache>
            </c:numRef>
          </c:val>
          <c:smooth val="0"/>
        </c:ser>
        <c:dLbls>
          <c:showLegendKey val="0"/>
          <c:showVal val="0"/>
          <c:showCatName val="0"/>
          <c:showSerName val="0"/>
          <c:showPercent val="0"/>
          <c:showBubbleSize val="0"/>
        </c:dLbls>
        <c:marker val="0"/>
        <c:smooth val="0"/>
        <c:axId val="344253656"/>
        <c:axId val="344256400"/>
      </c:lineChart>
      <c:dateAx>
        <c:axId val="34425365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344256400"/>
        <c:crosses val="autoZero"/>
        <c:auto val="1"/>
        <c:lblOffset val="100"/>
        <c:baseTimeUnit val="days"/>
        <c:majorUnit val="1"/>
        <c:majorTimeUnit val="days"/>
      </c:dateAx>
      <c:valAx>
        <c:axId val="344256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3442536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C06D6-2BA5-4638-A860-43D088CA6A0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12489</Words>
  <Characters>16932</Characters>
  <Lines>146</Lines>
  <Paragraphs>41</Paragraphs>
  <TotalTime>0</TotalTime>
  <ScaleCrop>false</ScaleCrop>
  <LinksUpToDate>false</LinksUpToDate>
  <CharactersWithSpaces>17381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吕应强</cp:lastModifiedBy>
  <cp:lastPrinted>2020-07-07T01:12:00Z</cp:lastPrinted>
  <dcterms:modified xsi:type="dcterms:W3CDTF">2022-07-09T06:39:44Z</dcterms:modified>
  <dc:title>Production Technology Monthly Report of Water Treatment      HYBN-T4-16-0005-022-2020</dc:title>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8BD500E97B9146439C8D5FCB93AD8881</vt:lpwstr>
  </property>
</Properties>
</file>