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28"/>
        <w:gridCol w:w="915"/>
        <w:gridCol w:w="945"/>
        <w:gridCol w:w="690"/>
        <w:gridCol w:w="3375"/>
        <w:gridCol w:w="1155"/>
        <w:gridCol w:w="1335"/>
        <w:gridCol w:w="809"/>
        <w:gridCol w:w="688"/>
        <w:gridCol w:w="716"/>
        <w:gridCol w:w="891"/>
        <w:gridCol w:w="891"/>
        <w:gridCol w:w="89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tblHeader/>
          <w:jc w:val="center"/>
        </w:trPr>
        <w:tc>
          <w:tcPr>
            <w:tcW w:w="14783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9807"/>
              </w:tabs>
              <w:spacing w:line="240" w:lineRule="exact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Arial Unicode MS" w:cs="Arial"/>
                <w:b/>
                <w:sz w:val="24"/>
              </w:rPr>
              <w:t xml:space="preserve">Hengyi Industries Sdn Bhd </w:t>
            </w:r>
            <w:r>
              <w:rPr>
                <w:rFonts w:hint="default" w:ascii="Arial" w:hAnsi="Arial" w:cs="Arial" w:eastAsiaTheme="majorEastAsia"/>
                <w:b/>
                <w:sz w:val="24"/>
              </w:rPr>
              <w:t xml:space="preserve"> </w:t>
            </w:r>
            <w:r>
              <w:rPr>
                <w:rFonts w:hint="default" w:ascii="Arial" w:hAnsi="Arial" w:eastAsia="黑体" w:cs="Arial"/>
                <w:b/>
                <w:sz w:val="24"/>
              </w:rPr>
              <w:t>恒逸实业（文莱）有限公司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tblHeader/>
          <w:jc w:val="center"/>
        </w:trPr>
        <w:tc>
          <w:tcPr>
            <w:tcW w:w="14783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exact"/>
              <w:rPr>
                <w:rFonts w:hint="default" w:ascii="Arial" w:hAnsi="Arial" w:cs="Arial"/>
                <w:color w:val="2E30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Arial" w:hAnsi="Arial" w:cs="Arial"/>
                <w:color w:val="2E3033"/>
                <w:sz w:val="24"/>
                <w:szCs w:val="24"/>
                <w:shd w:val="clear" w:color="auto" w:fill="FFFFFF"/>
              </w:rPr>
              <w:t>Weekly（monthly） inspection and hidden trouble management ledger</w:t>
            </w:r>
          </w:p>
          <w:p>
            <w:pPr>
              <w:spacing w:line="240" w:lineRule="exact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黑体" w:cs="Arial"/>
                <w:sz w:val="24"/>
              </w:rPr>
              <w:t>2022.</w:t>
            </w:r>
            <w:r>
              <w:rPr>
                <w:rFonts w:hint="eastAsia" w:ascii="Arial" w:hAnsi="Arial" w:eastAsia="黑体" w:cs="Arial"/>
                <w:sz w:val="24"/>
                <w:lang w:val="en-US" w:eastAsia="zh-CN"/>
              </w:rPr>
              <w:t>11</w:t>
            </w:r>
            <w:r>
              <w:rPr>
                <w:rFonts w:hint="default" w:ascii="Arial" w:hAnsi="Arial" w:eastAsia="黑体" w:cs="Arial"/>
                <w:sz w:val="24"/>
              </w:rPr>
              <w:t>.</w:t>
            </w:r>
            <w:r>
              <w:rPr>
                <w:rFonts w:hint="eastAsia" w:ascii="Arial" w:hAnsi="Arial" w:eastAsia="黑体" w:cs="Arial"/>
                <w:sz w:val="24"/>
                <w:lang w:val="en-US" w:eastAsia="zh-CN"/>
              </w:rPr>
              <w:t>17</w:t>
            </w:r>
            <w:r>
              <w:rPr>
                <w:rFonts w:hint="default" w:ascii="Arial" w:hAnsi="Arial" w:eastAsia="黑体" w:cs="Arial"/>
                <w:sz w:val="24"/>
              </w:rPr>
              <w:t>周（月）检查及隐患治理跟踪反馈记录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tblHeader/>
          <w:jc w:val="center"/>
        </w:trPr>
        <w:tc>
          <w:tcPr>
            <w:tcW w:w="14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exact"/>
              <w:rPr>
                <w:rFonts w:hint="default" w:ascii="Arial" w:hAnsi="Arial" w:eastAsia="Arial Unicode MS" w:cs="Arial"/>
                <w:sz w:val="21"/>
                <w:szCs w:val="21"/>
                <w:lang w:val="en-GB"/>
              </w:rPr>
            </w:pPr>
            <w:r>
              <w:rPr>
                <w:rFonts w:hint="default" w:ascii="Arial" w:hAnsi="Arial" w:eastAsia="Arial Unicode MS" w:cs="Arial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922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pacing w:line="240" w:lineRule="exact"/>
              <w:rPr>
                <w:rFonts w:hint="eastAsia" w:ascii="Arial" w:hAnsi="Arial" w:eastAsia="Arial Unicode MS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Arial Unicode MS" w:cs="Arial"/>
                <w:spacing w:val="-6"/>
                <w:sz w:val="21"/>
                <w:szCs w:val="21"/>
              </w:rPr>
              <w:t>HYBN-T7-16-00</w:t>
            </w:r>
            <w:r>
              <w:rPr>
                <w:rFonts w:hint="eastAsia" w:ascii="Arial" w:hAnsi="Arial" w:cs="Arial"/>
                <w:spacing w:val="-6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Arial" w:hAnsi="Arial" w:eastAsia="Arial Unicode MS" w:cs="Arial"/>
                <w:spacing w:val="-6"/>
                <w:sz w:val="21"/>
                <w:szCs w:val="21"/>
              </w:rPr>
              <w:t>-2022-0</w:t>
            </w:r>
            <w:r>
              <w:rPr>
                <w:rFonts w:hint="eastAsia" w:ascii="Arial" w:hAnsi="Arial" w:eastAsia="Arial Unicode MS" w:cs="Arial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8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Arial" w:hAnsi="Arial" w:eastAsia="宋体" w:cs="Arial"/>
                <w:szCs w:val="21"/>
                <w:lang w:eastAsia="zh-CN"/>
              </w:rPr>
            </w:pPr>
            <w:r>
              <w:rPr>
                <w:rFonts w:hint="default" w:ascii="Arial" w:hAnsi="Arial" w:eastAsia="Arial Unicode MS" w:cs="Arial"/>
                <w:szCs w:val="21"/>
              </w:rPr>
              <w:t xml:space="preserve">Page  </w:t>
            </w:r>
            <w:r>
              <w:rPr>
                <w:rFonts w:hint="default" w:ascii="Arial" w:hAnsi="Arial" w:eastAsia="Arial Unicode MS" w:cs="Arial"/>
                <w:szCs w:val="21"/>
              </w:rPr>
              <w:fldChar w:fldCharType="begin"/>
            </w:r>
            <w:r>
              <w:rPr>
                <w:rFonts w:hint="default" w:ascii="Arial" w:hAnsi="Arial" w:eastAsia="Arial Unicode MS" w:cs="Arial"/>
                <w:szCs w:val="21"/>
              </w:rPr>
              <w:instrText xml:space="preserve"> PAGE  \* Arabic  \* MERGEFORMAT </w:instrText>
            </w:r>
            <w:r>
              <w:rPr>
                <w:rFonts w:hint="default" w:ascii="Arial" w:hAnsi="Arial" w:eastAsia="Arial Unicode MS" w:cs="Arial"/>
                <w:szCs w:val="21"/>
              </w:rPr>
              <w:fldChar w:fldCharType="separate"/>
            </w:r>
            <w:r>
              <w:rPr>
                <w:rFonts w:hint="default" w:ascii="Arial" w:hAnsi="Arial" w:eastAsia="Arial Unicode MS" w:cs="Arial"/>
                <w:szCs w:val="21"/>
              </w:rPr>
              <w:t>1</w:t>
            </w:r>
            <w:r>
              <w:rPr>
                <w:rFonts w:hint="default" w:ascii="Arial" w:hAnsi="Arial" w:eastAsia="Arial Unicode MS" w:cs="Arial"/>
                <w:szCs w:val="21"/>
              </w:rPr>
              <w:fldChar w:fldCharType="end"/>
            </w:r>
            <w:r>
              <w:rPr>
                <w:rFonts w:hint="default" w:ascii="Arial" w:hAnsi="Arial" w:eastAsia="Arial Unicode MS" w:cs="Arial"/>
                <w:bCs/>
                <w:szCs w:val="21"/>
              </w:rPr>
              <w:t xml:space="preserve">  of </w:t>
            </w:r>
            <w:r>
              <w:rPr>
                <w:rFonts w:hint="eastAsia" w:ascii="Arial" w:hAnsi="Arial" w:eastAsia="Arial Unicode MS" w:cs="Arial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80" w:hRule="atLeast"/>
          <w:tblHeader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序号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cs="Arial"/>
                <w:kern w:val="0"/>
                <w:szCs w:val="21"/>
                <w:lang w:val="zh-CN"/>
              </w:rPr>
            </w:pPr>
            <w:r>
              <w:rPr>
                <w:rFonts w:hint="default" w:ascii="Arial" w:hAnsi="Arial" w:cs="Arial"/>
                <w:kern w:val="0"/>
                <w:szCs w:val="21"/>
                <w:lang w:val="zh-CN"/>
              </w:rPr>
              <w:t>检查</w:t>
            </w:r>
          </w:p>
          <w:p>
            <w:pPr>
              <w:spacing w:line="240" w:lineRule="exact"/>
              <w:jc w:val="center"/>
              <w:rPr>
                <w:rFonts w:hint="default" w:ascii="Arial" w:hAnsi="Arial" w:cs="Arial"/>
                <w:kern w:val="0"/>
                <w:szCs w:val="21"/>
                <w:lang w:val="zh-CN"/>
              </w:rPr>
            </w:pPr>
            <w:r>
              <w:rPr>
                <w:rFonts w:hint="default" w:ascii="Arial" w:hAnsi="Arial" w:cs="Arial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cs="Arial"/>
                <w:kern w:val="0"/>
                <w:szCs w:val="21"/>
                <w:lang w:val="zh-CN"/>
              </w:rPr>
            </w:pPr>
            <w:r>
              <w:rPr>
                <w:rFonts w:hint="default" w:ascii="Arial" w:hAnsi="Arial" w:cs="Arial"/>
                <w:kern w:val="0"/>
                <w:szCs w:val="21"/>
                <w:lang w:val="zh-CN"/>
              </w:rPr>
              <w:t>单元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cs="Arial"/>
                <w:kern w:val="0"/>
                <w:szCs w:val="21"/>
                <w:lang w:val="zh-CN"/>
              </w:rPr>
            </w:pPr>
            <w:r>
              <w:rPr>
                <w:rFonts w:hint="default" w:ascii="Arial" w:hAnsi="Arial" w:cs="Arial"/>
                <w:kern w:val="0"/>
                <w:szCs w:val="21"/>
                <w:lang w:val="zh-CN"/>
              </w:rPr>
              <w:t>检查人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cs="Arial"/>
                <w:kern w:val="0"/>
                <w:szCs w:val="21"/>
                <w:lang w:val="zh-CN"/>
              </w:rPr>
            </w:pPr>
            <w:r>
              <w:rPr>
                <w:rFonts w:hint="default" w:ascii="Arial" w:hAnsi="Arial" w:cs="Arial"/>
                <w:kern w:val="0"/>
                <w:szCs w:val="21"/>
                <w:lang w:val="zh-CN"/>
              </w:rPr>
              <w:t>检查形式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cs="Arial"/>
                <w:kern w:val="0"/>
                <w:szCs w:val="21"/>
                <w:lang w:val="zh-CN"/>
              </w:rPr>
            </w:pPr>
            <w:r>
              <w:rPr>
                <w:rFonts w:hint="default" w:ascii="Arial" w:hAnsi="Arial" w:cs="Arial"/>
                <w:kern w:val="0"/>
                <w:szCs w:val="21"/>
                <w:lang w:val="zh-CN"/>
              </w:rPr>
              <w:t>检查内容及存在问题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  <w:t>整改</w:t>
            </w:r>
          </w:p>
          <w:p>
            <w:pPr>
              <w:spacing w:line="240" w:lineRule="exact"/>
              <w:jc w:val="center"/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  <w:t>措施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  <w:t>整改</w:t>
            </w:r>
          </w:p>
          <w:p>
            <w:pPr>
              <w:spacing w:line="240" w:lineRule="exact"/>
              <w:jc w:val="center"/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  <w:t>负责人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  <w:t>整改期限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  <w:t>隐患级别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  <w:t>隐患分类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  <w:t>整改</w:t>
            </w:r>
          </w:p>
          <w:p>
            <w:pPr>
              <w:spacing w:line="240" w:lineRule="exact"/>
              <w:jc w:val="center"/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  <w:t>情况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  <w:t>完成</w:t>
            </w:r>
          </w:p>
          <w:p>
            <w:pPr>
              <w:spacing w:line="240" w:lineRule="exact"/>
              <w:jc w:val="center"/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  <w:t>时间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Cs w:val="21"/>
                <w:lang w:val="zh-CN"/>
              </w:rPr>
              <w:t>复查人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4" w:hRule="atLeast"/>
          <w:tblHeader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请各班组按照设备专业规定（双红单白），按时完成机泵盘车（今日检查仍有部分人员未按时盘车）；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及时整改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各班组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Arial" w:hAnsi="Arial" w:cs="Arial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4" w:hRule="atLeast"/>
          <w:tblHeader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含盐B列PAM加药区油泥板结严重，PAM无法进入水体，造成药剂浪费，无法起到应有的效果，多次提醒班组未主动处理。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及时整改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Arial" w:hAnsi="Arial" w:cs="Arial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4" w:hRule="atLeast"/>
          <w:tblHeader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吕应强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碱渣单元P1003机封水使用完毕后，及时关闭，防止倒串入碱渣调节罐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规范操作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各班组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4" w:hRule="atLeast"/>
          <w:tblHeader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一循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李纯进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一循生产水排污泵P-103A/B螺栓螺母黄油涂抹不均匀，脏乱差；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及时整改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水处理一班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4" w:hRule="atLeast"/>
          <w:tblHeader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马英城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消防西侧阀门井周边杂草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及时清理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水处理一班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4" w:hRule="atLeast"/>
          <w:tblHeader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吕应强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含油P2002A/B/C/D、P2010C/D、地面卫生较脏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及时清理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水处理一班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4" w:hRule="atLeast"/>
          <w:tblHeader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吕应强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二级气浮盖板、周边杂物多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及时清理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水处理二班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4" w:hRule="atLeast"/>
          <w:tblHeader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马英城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污水P1002A电机下润滑脂多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及时清理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水处理二班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4" w:hRule="atLeast"/>
          <w:tblHeader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马英城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污油罐围堰北侧及西侧有青苔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及时清理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水处理三班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4" w:hRule="atLeast"/>
          <w:tblHeader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李纯进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污泥浓缩框架3007D放空阀门，阀体卫生差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及时清理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水处理三班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4" w:hRule="atLeast"/>
          <w:tblHeader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吕应强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污水P2002A/B、P2003A/B泵周边杂物多；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及时清理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水处理四班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4" w:hRule="atLeast"/>
          <w:tblHeader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吕应强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流沙过滤器5152-F2005CX排水管线周边泥沙、旁滤器底部周边泥沙多；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及时清理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水处理四班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4" w:hRule="atLeast"/>
          <w:tblHeader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吕应强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回用水顶部取样牌脱落；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及时清理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水处理四班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4" w:hRule="atLeast"/>
          <w:tblHeader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吕应强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高位反应槽底部DN350排污管线螺栓不全，缺螺栓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及时整改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水处理四班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4" w:hRule="atLeast"/>
          <w:tblHeader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马英城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含油生化池西侧地面青苔多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及时清理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水处理四班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4" w:hRule="atLeast"/>
          <w:tblHeader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马英城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污水鼓风机西侧阀门井周边青苔多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及时清理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水处理四班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  <w:trHeight w:val="624" w:hRule="atLeast"/>
          <w:tblHeader/>
          <w:jc w:val="center"/>
        </w:trPr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11.17 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吕应强</w:t>
            </w:r>
          </w:p>
        </w:tc>
        <w:tc>
          <w:tcPr>
            <w:tcW w:w="6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3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含油流砂过滤器四周地面卫生较脏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及时清理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水处理四班</w:t>
            </w:r>
          </w:p>
        </w:tc>
        <w:tc>
          <w:tcPr>
            <w:tcW w:w="8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</w:t>
            </w:r>
          </w:p>
        </w:tc>
        <w:tc>
          <w:tcPr>
            <w:tcW w:w="6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周检</w:t>
            </w: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8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Cs w:val="21"/>
              </w:rPr>
            </w:pPr>
          </w:p>
        </w:tc>
      </w:tr>
    </w:tbl>
    <w:p>
      <w:pPr>
        <w:rPr>
          <w:rFonts w:ascii="Arial" w:hAnsi="Arial" w:cs="Arial"/>
        </w:rPr>
      </w:pPr>
      <w:r>
        <w:rPr>
          <w:rFonts w:hint="eastAsia"/>
        </w:rPr>
        <w:t>说明</w:t>
      </w:r>
      <w:r>
        <w:rPr>
          <w:rFonts w:ascii="Arial" w:hAnsi="Arial" w:cs="Arial"/>
        </w:rPr>
        <w:t>：1.检查形式：周检、周检、综合检查、节前检查、其它等；</w:t>
      </w:r>
    </w:p>
    <w:p>
      <w:pPr>
        <w:numPr>
          <w:ilvl w:val="0"/>
          <w:numId w:val="1"/>
        </w:numPr>
        <w:ind w:firstLine="630" w:firstLineChars="300"/>
        <w:rPr>
          <w:rFonts w:hint="eastAsia"/>
        </w:rPr>
      </w:pPr>
      <w:r>
        <w:rPr>
          <w:rFonts w:ascii="Arial" w:hAnsi="Arial" w:cs="Arial"/>
        </w:rPr>
        <w:t>涉</w:t>
      </w:r>
      <w:r>
        <w:rPr>
          <w:rFonts w:hint="eastAsia"/>
        </w:rPr>
        <w:t>及各班组的内容，请各班长整改完成后分别签字；对于不认真、彻底整改的将纳入月度考核序列。</w:t>
      </w:r>
    </w:p>
    <w:p>
      <w:pPr>
        <w:tabs>
          <w:tab w:val="left" w:pos="312"/>
        </w:tabs>
        <w:rPr>
          <w:rFonts w:hint="eastAsia"/>
        </w:rPr>
      </w:pPr>
    </w:p>
    <w:sectPr>
      <w:pgSz w:w="16838" w:h="11906" w:orient="landscape"/>
      <w:pgMar w:top="1440" w:right="2880" w:bottom="1440" w:left="288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D4B491"/>
    <w:multiLevelType w:val="singleLevel"/>
    <w:tmpl w:val="5FD4B491"/>
    <w:lvl w:ilvl="0" w:tentative="0">
      <w:start w:val="2"/>
      <w:numFmt w:val="decimal"/>
      <w:lvlText w:val="%1."/>
      <w:lvlJc w:val="left"/>
      <w:pPr>
        <w:tabs>
          <w:tab w:val="left" w:pos="312"/>
        </w:tabs>
      </w:pPr>
      <w:rPr>
        <w:rFonts w:hint="default" w:ascii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0OTYyYjFiNWRlZDA1NTdjNGU3YWEyNzBlM2ViNDEifQ=="/>
  </w:docVars>
  <w:rsids>
    <w:rsidRoot w:val="00A2034D"/>
    <w:rsid w:val="000228B8"/>
    <w:rsid w:val="000345C1"/>
    <w:rsid w:val="00065E87"/>
    <w:rsid w:val="00087F3F"/>
    <w:rsid w:val="000A780A"/>
    <w:rsid w:val="000B6868"/>
    <w:rsid w:val="000C25D9"/>
    <w:rsid w:val="000C3756"/>
    <w:rsid w:val="000F33E5"/>
    <w:rsid w:val="00114A60"/>
    <w:rsid w:val="001412F3"/>
    <w:rsid w:val="001604BD"/>
    <w:rsid w:val="00163668"/>
    <w:rsid w:val="00167422"/>
    <w:rsid w:val="0018209A"/>
    <w:rsid w:val="00182B21"/>
    <w:rsid w:val="001F4113"/>
    <w:rsid w:val="0021219C"/>
    <w:rsid w:val="00215000"/>
    <w:rsid w:val="002178DB"/>
    <w:rsid w:val="00222528"/>
    <w:rsid w:val="00224864"/>
    <w:rsid w:val="00224BAF"/>
    <w:rsid w:val="00235BDA"/>
    <w:rsid w:val="00241984"/>
    <w:rsid w:val="00275EAC"/>
    <w:rsid w:val="00287BF2"/>
    <w:rsid w:val="002A0614"/>
    <w:rsid w:val="002A2341"/>
    <w:rsid w:val="002A7DDC"/>
    <w:rsid w:val="002B21B6"/>
    <w:rsid w:val="002C0932"/>
    <w:rsid w:val="002C3C9E"/>
    <w:rsid w:val="002D7026"/>
    <w:rsid w:val="002E5DCD"/>
    <w:rsid w:val="00300EEF"/>
    <w:rsid w:val="00313916"/>
    <w:rsid w:val="0033075A"/>
    <w:rsid w:val="00361124"/>
    <w:rsid w:val="00372C9D"/>
    <w:rsid w:val="00373A6E"/>
    <w:rsid w:val="00397FF5"/>
    <w:rsid w:val="003B2E9C"/>
    <w:rsid w:val="003F1C12"/>
    <w:rsid w:val="003F33DB"/>
    <w:rsid w:val="00403610"/>
    <w:rsid w:val="004039DE"/>
    <w:rsid w:val="0042178E"/>
    <w:rsid w:val="00442905"/>
    <w:rsid w:val="00446761"/>
    <w:rsid w:val="0045281D"/>
    <w:rsid w:val="00477230"/>
    <w:rsid w:val="004940A8"/>
    <w:rsid w:val="004948C9"/>
    <w:rsid w:val="004A528D"/>
    <w:rsid w:val="004D0FC5"/>
    <w:rsid w:val="004E1084"/>
    <w:rsid w:val="004F4595"/>
    <w:rsid w:val="00507746"/>
    <w:rsid w:val="00515A21"/>
    <w:rsid w:val="00517067"/>
    <w:rsid w:val="00533127"/>
    <w:rsid w:val="00546842"/>
    <w:rsid w:val="00552DF8"/>
    <w:rsid w:val="00583659"/>
    <w:rsid w:val="00592226"/>
    <w:rsid w:val="005A3B5C"/>
    <w:rsid w:val="005B5970"/>
    <w:rsid w:val="005C4E29"/>
    <w:rsid w:val="005C6BF6"/>
    <w:rsid w:val="005D3FF8"/>
    <w:rsid w:val="005E611D"/>
    <w:rsid w:val="005F24AE"/>
    <w:rsid w:val="005F6090"/>
    <w:rsid w:val="00613817"/>
    <w:rsid w:val="00645DAD"/>
    <w:rsid w:val="006751BF"/>
    <w:rsid w:val="00676A3D"/>
    <w:rsid w:val="00680E2F"/>
    <w:rsid w:val="006945E5"/>
    <w:rsid w:val="0069675A"/>
    <w:rsid w:val="006A02BE"/>
    <w:rsid w:val="007462C8"/>
    <w:rsid w:val="00762FCE"/>
    <w:rsid w:val="007737F1"/>
    <w:rsid w:val="007750BA"/>
    <w:rsid w:val="007828F5"/>
    <w:rsid w:val="00785DFC"/>
    <w:rsid w:val="007E1155"/>
    <w:rsid w:val="007E2C2E"/>
    <w:rsid w:val="00810C7F"/>
    <w:rsid w:val="00810D99"/>
    <w:rsid w:val="00847982"/>
    <w:rsid w:val="00857D64"/>
    <w:rsid w:val="00860C0E"/>
    <w:rsid w:val="00867948"/>
    <w:rsid w:val="0087536A"/>
    <w:rsid w:val="00893E75"/>
    <w:rsid w:val="008A67D6"/>
    <w:rsid w:val="008B4FC3"/>
    <w:rsid w:val="008C05B4"/>
    <w:rsid w:val="008C1F27"/>
    <w:rsid w:val="008D61ED"/>
    <w:rsid w:val="008E63E5"/>
    <w:rsid w:val="008E6964"/>
    <w:rsid w:val="00900383"/>
    <w:rsid w:val="00904A3C"/>
    <w:rsid w:val="00912645"/>
    <w:rsid w:val="00927817"/>
    <w:rsid w:val="00935FE0"/>
    <w:rsid w:val="00940DD1"/>
    <w:rsid w:val="009473CF"/>
    <w:rsid w:val="00947FC0"/>
    <w:rsid w:val="00975034"/>
    <w:rsid w:val="0098359E"/>
    <w:rsid w:val="00991A10"/>
    <w:rsid w:val="0099573D"/>
    <w:rsid w:val="009B5DFB"/>
    <w:rsid w:val="009B6A32"/>
    <w:rsid w:val="009B6C92"/>
    <w:rsid w:val="009D7404"/>
    <w:rsid w:val="009D7E07"/>
    <w:rsid w:val="009E2288"/>
    <w:rsid w:val="009E380B"/>
    <w:rsid w:val="009E6A56"/>
    <w:rsid w:val="009F7606"/>
    <w:rsid w:val="00A044FD"/>
    <w:rsid w:val="00A15538"/>
    <w:rsid w:val="00A2034D"/>
    <w:rsid w:val="00A27095"/>
    <w:rsid w:val="00A31541"/>
    <w:rsid w:val="00A31E55"/>
    <w:rsid w:val="00A37B38"/>
    <w:rsid w:val="00A40C46"/>
    <w:rsid w:val="00A41957"/>
    <w:rsid w:val="00A43674"/>
    <w:rsid w:val="00A82E94"/>
    <w:rsid w:val="00AA6D07"/>
    <w:rsid w:val="00AB3B56"/>
    <w:rsid w:val="00AC1182"/>
    <w:rsid w:val="00AD435D"/>
    <w:rsid w:val="00B13A5B"/>
    <w:rsid w:val="00B17DEA"/>
    <w:rsid w:val="00B443EE"/>
    <w:rsid w:val="00B4520F"/>
    <w:rsid w:val="00B726F3"/>
    <w:rsid w:val="00B75B08"/>
    <w:rsid w:val="00B76BE0"/>
    <w:rsid w:val="00B77E42"/>
    <w:rsid w:val="00B8189B"/>
    <w:rsid w:val="00B8276F"/>
    <w:rsid w:val="00B83AD5"/>
    <w:rsid w:val="00B913EA"/>
    <w:rsid w:val="00BA0F2E"/>
    <w:rsid w:val="00BB0EC7"/>
    <w:rsid w:val="00BB2C97"/>
    <w:rsid w:val="00BB4925"/>
    <w:rsid w:val="00BD42E3"/>
    <w:rsid w:val="00BD433E"/>
    <w:rsid w:val="00BD568F"/>
    <w:rsid w:val="00BE5EB7"/>
    <w:rsid w:val="00BF613C"/>
    <w:rsid w:val="00C227D1"/>
    <w:rsid w:val="00C230F8"/>
    <w:rsid w:val="00C24FDD"/>
    <w:rsid w:val="00C32495"/>
    <w:rsid w:val="00C467C8"/>
    <w:rsid w:val="00C52BCA"/>
    <w:rsid w:val="00C62226"/>
    <w:rsid w:val="00C67F4D"/>
    <w:rsid w:val="00C75C2E"/>
    <w:rsid w:val="00C86A9A"/>
    <w:rsid w:val="00C90350"/>
    <w:rsid w:val="00C90AD7"/>
    <w:rsid w:val="00CA4193"/>
    <w:rsid w:val="00CB1AA0"/>
    <w:rsid w:val="00CB59AF"/>
    <w:rsid w:val="00CC694C"/>
    <w:rsid w:val="00D16E0F"/>
    <w:rsid w:val="00D22092"/>
    <w:rsid w:val="00D25EA9"/>
    <w:rsid w:val="00D276CE"/>
    <w:rsid w:val="00D304D0"/>
    <w:rsid w:val="00D3302F"/>
    <w:rsid w:val="00D341DF"/>
    <w:rsid w:val="00D3483C"/>
    <w:rsid w:val="00D43233"/>
    <w:rsid w:val="00D46EFD"/>
    <w:rsid w:val="00D566EB"/>
    <w:rsid w:val="00D62965"/>
    <w:rsid w:val="00D71FC0"/>
    <w:rsid w:val="00D8267D"/>
    <w:rsid w:val="00DA60F1"/>
    <w:rsid w:val="00DB1EC2"/>
    <w:rsid w:val="00DB65D4"/>
    <w:rsid w:val="00DB71E0"/>
    <w:rsid w:val="00DC3338"/>
    <w:rsid w:val="00DD743D"/>
    <w:rsid w:val="00DF6C8D"/>
    <w:rsid w:val="00DF72FD"/>
    <w:rsid w:val="00E23C81"/>
    <w:rsid w:val="00E35278"/>
    <w:rsid w:val="00E35280"/>
    <w:rsid w:val="00E35E24"/>
    <w:rsid w:val="00E4039A"/>
    <w:rsid w:val="00E60A57"/>
    <w:rsid w:val="00E85A41"/>
    <w:rsid w:val="00E918B1"/>
    <w:rsid w:val="00E9190B"/>
    <w:rsid w:val="00E96C78"/>
    <w:rsid w:val="00EB518E"/>
    <w:rsid w:val="00EB7ABD"/>
    <w:rsid w:val="00ED5EEE"/>
    <w:rsid w:val="00EE6AA5"/>
    <w:rsid w:val="00EE7537"/>
    <w:rsid w:val="00EF4C28"/>
    <w:rsid w:val="00F14375"/>
    <w:rsid w:val="00F21300"/>
    <w:rsid w:val="00F23332"/>
    <w:rsid w:val="00F26BC2"/>
    <w:rsid w:val="00F27E8E"/>
    <w:rsid w:val="00F35B73"/>
    <w:rsid w:val="00F43713"/>
    <w:rsid w:val="00F61FDF"/>
    <w:rsid w:val="00F72E0E"/>
    <w:rsid w:val="00F869E1"/>
    <w:rsid w:val="00F92747"/>
    <w:rsid w:val="00F93D14"/>
    <w:rsid w:val="00F94B2B"/>
    <w:rsid w:val="00F966C3"/>
    <w:rsid w:val="00FA6F2D"/>
    <w:rsid w:val="00FB3D0C"/>
    <w:rsid w:val="00FB6064"/>
    <w:rsid w:val="00FC3A17"/>
    <w:rsid w:val="00FD4D2E"/>
    <w:rsid w:val="00FE23C7"/>
    <w:rsid w:val="00FF6739"/>
    <w:rsid w:val="00FF752B"/>
    <w:rsid w:val="014377B8"/>
    <w:rsid w:val="014D1641"/>
    <w:rsid w:val="016641BF"/>
    <w:rsid w:val="01DC381C"/>
    <w:rsid w:val="0261228C"/>
    <w:rsid w:val="0439523A"/>
    <w:rsid w:val="06886A7E"/>
    <w:rsid w:val="06C55934"/>
    <w:rsid w:val="06C631EC"/>
    <w:rsid w:val="07C84B7F"/>
    <w:rsid w:val="08BE7C7C"/>
    <w:rsid w:val="08CE789E"/>
    <w:rsid w:val="08E025F5"/>
    <w:rsid w:val="09455BA6"/>
    <w:rsid w:val="09C37250"/>
    <w:rsid w:val="0A724F69"/>
    <w:rsid w:val="0BC31022"/>
    <w:rsid w:val="0BE7338F"/>
    <w:rsid w:val="0E4D7EEC"/>
    <w:rsid w:val="0E78024C"/>
    <w:rsid w:val="110434DB"/>
    <w:rsid w:val="11D863A5"/>
    <w:rsid w:val="12256112"/>
    <w:rsid w:val="132B55CA"/>
    <w:rsid w:val="139550A5"/>
    <w:rsid w:val="143C24CD"/>
    <w:rsid w:val="14965C63"/>
    <w:rsid w:val="14C10837"/>
    <w:rsid w:val="14C57350"/>
    <w:rsid w:val="15B8481B"/>
    <w:rsid w:val="16F93156"/>
    <w:rsid w:val="1810616F"/>
    <w:rsid w:val="18E442EE"/>
    <w:rsid w:val="19D73EB6"/>
    <w:rsid w:val="19EF1F47"/>
    <w:rsid w:val="1A345F7C"/>
    <w:rsid w:val="1A93259E"/>
    <w:rsid w:val="1B870CE2"/>
    <w:rsid w:val="1B9A3AA6"/>
    <w:rsid w:val="1BF93D41"/>
    <w:rsid w:val="1C782C21"/>
    <w:rsid w:val="1CAA0F13"/>
    <w:rsid w:val="1CBB0096"/>
    <w:rsid w:val="1D441B8E"/>
    <w:rsid w:val="1DB51FEA"/>
    <w:rsid w:val="20323819"/>
    <w:rsid w:val="20493C09"/>
    <w:rsid w:val="21DC3A51"/>
    <w:rsid w:val="23A95AEE"/>
    <w:rsid w:val="23C462F0"/>
    <w:rsid w:val="24844C6E"/>
    <w:rsid w:val="252F5B39"/>
    <w:rsid w:val="253540F5"/>
    <w:rsid w:val="25853C84"/>
    <w:rsid w:val="25943D62"/>
    <w:rsid w:val="26077F0E"/>
    <w:rsid w:val="262B495D"/>
    <w:rsid w:val="2761289F"/>
    <w:rsid w:val="27C26A1C"/>
    <w:rsid w:val="290D56E8"/>
    <w:rsid w:val="29BB7AFB"/>
    <w:rsid w:val="2A5F611E"/>
    <w:rsid w:val="2C7947EB"/>
    <w:rsid w:val="2CD418C9"/>
    <w:rsid w:val="2D1A0748"/>
    <w:rsid w:val="2D693934"/>
    <w:rsid w:val="2DBC0218"/>
    <w:rsid w:val="2F0C331C"/>
    <w:rsid w:val="2F9D6E59"/>
    <w:rsid w:val="337B0E24"/>
    <w:rsid w:val="33BF2DE9"/>
    <w:rsid w:val="34997E8F"/>
    <w:rsid w:val="34D45FAB"/>
    <w:rsid w:val="37630FB4"/>
    <w:rsid w:val="382679DA"/>
    <w:rsid w:val="38E20234"/>
    <w:rsid w:val="39AB40FC"/>
    <w:rsid w:val="3A330609"/>
    <w:rsid w:val="3A3326AD"/>
    <w:rsid w:val="3A3F4C09"/>
    <w:rsid w:val="3B341222"/>
    <w:rsid w:val="3B91061F"/>
    <w:rsid w:val="3B9659D1"/>
    <w:rsid w:val="3C0812EB"/>
    <w:rsid w:val="3DD02B4A"/>
    <w:rsid w:val="3E431E76"/>
    <w:rsid w:val="3EFF1387"/>
    <w:rsid w:val="405C0B78"/>
    <w:rsid w:val="45897BAA"/>
    <w:rsid w:val="45DD7344"/>
    <w:rsid w:val="46000153"/>
    <w:rsid w:val="4729667C"/>
    <w:rsid w:val="47AA6BD6"/>
    <w:rsid w:val="48FE57AF"/>
    <w:rsid w:val="49100F61"/>
    <w:rsid w:val="49693AC7"/>
    <w:rsid w:val="498C033A"/>
    <w:rsid w:val="49D767A1"/>
    <w:rsid w:val="4C5B2131"/>
    <w:rsid w:val="4EAE18D3"/>
    <w:rsid w:val="4F4023CE"/>
    <w:rsid w:val="504F070F"/>
    <w:rsid w:val="515B4349"/>
    <w:rsid w:val="5315305D"/>
    <w:rsid w:val="54A24918"/>
    <w:rsid w:val="54EC2E17"/>
    <w:rsid w:val="567D39D9"/>
    <w:rsid w:val="56991E3B"/>
    <w:rsid w:val="571A1A7B"/>
    <w:rsid w:val="574C0B96"/>
    <w:rsid w:val="58317E54"/>
    <w:rsid w:val="58970452"/>
    <w:rsid w:val="591250FF"/>
    <w:rsid w:val="59590F80"/>
    <w:rsid w:val="5A8A5222"/>
    <w:rsid w:val="5BC944DE"/>
    <w:rsid w:val="5BDB0BFD"/>
    <w:rsid w:val="5C545824"/>
    <w:rsid w:val="5C563FD3"/>
    <w:rsid w:val="5C6D772A"/>
    <w:rsid w:val="5CA16EC6"/>
    <w:rsid w:val="5DE34720"/>
    <w:rsid w:val="5E6830F0"/>
    <w:rsid w:val="5EA33DFC"/>
    <w:rsid w:val="5FE7642E"/>
    <w:rsid w:val="601F5438"/>
    <w:rsid w:val="602C614D"/>
    <w:rsid w:val="60333E24"/>
    <w:rsid w:val="605456BB"/>
    <w:rsid w:val="605B1436"/>
    <w:rsid w:val="61A4205F"/>
    <w:rsid w:val="61BE5640"/>
    <w:rsid w:val="61BF110F"/>
    <w:rsid w:val="628D0B28"/>
    <w:rsid w:val="651D7F87"/>
    <w:rsid w:val="6756177D"/>
    <w:rsid w:val="675625D4"/>
    <w:rsid w:val="67733607"/>
    <w:rsid w:val="68E3474B"/>
    <w:rsid w:val="691A5341"/>
    <w:rsid w:val="695D20CE"/>
    <w:rsid w:val="6AB93170"/>
    <w:rsid w:val="6D8513A1"/>
    <w:rsid w:val="6E7576BE"/>
    <w:rsid w:val="6EA56C29"/>
    <w:rsid w:val="6EAD4271"/>
    <w:rsid w:val="706B361B"/>
    <w:rsid w:val="70B054D2"/>
    <w:rsid w:val="714F0C57"/>
    <w:rsid w:val="71C7281E"/>
    <w:rsid w:val="71C73CB9"/>
    <w:rsid w:val="736452CD"/>
    <w:rsid w:val="75CA78FA"/>
    <w:rsid w:val="75D10215"/>
    <w:rsid w:val="75D15607"/>
    <w:rsid w:val="76785FAD"/>
    <w:rsid w:val="770943F1"/>
    <w:rsid w:val="7A287A83"/>
    <w:rsid w:val="7AE478CB"/>
    <w:rsid w:val="7B4955F9"/>
    <w:rsid w:val="7C1A6371"/>
    <w:rsid w:val="7C4E2D05"/>
    <w:rsid w:val="7CCD11BA"/>
    <w:rsid w:val="7CD36B36"/>
    <w:rsid w:val="7DE84850"/>
    <w:rsid w:val="7E1F1165"/>
    <w:rsid w:val="7E4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widowControl/>
      <w:pBdr>
        <w:top w:val="none" w:color="622423" w:sz="0" w:space="1"/>
        <w:left w:val="none" w:color="auto" w:sz="0" w:space="4"/>
        <w:bottom w:val="none" w:color="622423" w:sz="0" w:space="1"/>
        <w:right w:val="none" w:color="auto" w:sz="0" w:space="4"/>
      </w:pBdr>
      <w:spacing w:line="560" w:lineRule="exact"/>
      <w:jc w:val="both"/>
      <w:outlineLvl w:val="2"/>
    </w:pPr>
    <w:rPr>
      <w:rFonts w:ascii="Arial" w:hAnsi="Arial"/>
      <w:color w:val="000000" w:themeColor="text1"/>
      <w:kern w:val="0"/>
      <w:sz w:val="21"/>
      <w:szCs w:val="21"/>
      <w:lang w:eastAsia="en-US" w:bidi="en-US"/>
      <w14:textFill>
        <w14:solidFill>
          <w14:schemeClr w14:val="tx1"/>
        </w14:solidFill>
      </w14:textFill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character" w:customStyle="1" w:styleId="14">
    <w:name w:val="副标题 字符"/>
    <w:basedOn w:val="10"/>
    <w:link w:val="7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15">
    <w:name w:val="Table Paragraph"/>
    <w:basedOn w:val="1"/>
    <w:qFormat/>
    <w:uiPriority w:val="1"/>
    <w:rPr>
      <w:rFonts w:ascii="宋体" w:hAnsi="宋体" w:cs="宋体"/>
      <w:lang w:eastAsia="en-US" w:bidi="en-US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宁夏石化</Company>
  <Pages>2</Pages>
  <Words>664</Words>
  <Characters>911</Characters>
  <Lines>8</Lines>
  <Paragraphs>2</Paragraphs>
  <TotalTime>3</TotalTime>
  <ScaleCrop>false</ScaleCrop>
  <LinksUpToDate>false</LinksUpToDate>
  <CharactersWithSpaces>941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2022-06-17T04:00:00Z</dcterms:created>
  <dc:creator>微软用户</dc:creator>
  <cp:lastModifiedBy>李纯进</cp:lastModifiedBy>
  <cp:lastPrinted>2021-09-09T23:39:00Z</cp:lastPrinted>
  <dcterms:modified xsi:type="dcterms:W3CDTF">2022-11-18T04:25:25Z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329ECA13F1074A59A8E2137649993812</vt:lpwstr>
  </property>
</Properties>
</file>