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710"/>
        <w:gridCol w:w="2777"/>
        <w:gridCol w:w="988"/>
        <w:gridCol w:w="748"/>
        <w:gridCol w:w="1575"/>
      </w:tblGrid>
      <w:tr w:rsidR="00AD7A6D" w:rsidRPr="00896953" w14:paraId="3390EF00" w14:textId="77777777" w:rsidTr="00896953">
        <w:trPr>
          <w:trHeight w:val="640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14:paraId="1764837F" w14:textId="77777777" w:rsidR="00AD7A6D" w:rsidRPr="00896953" w:rsidRDefault="00AD7A6D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96953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16A9660" wp14:editId="5117C04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9" w:type="pct"/>
            <w:gridSpan w:val="5"/>
            <w:shd w:val="clear" w:color="auto" w:fill="auto"/>
            <w:vAlign w:val="center"/>
          </w:tcPr>
          <w:p w14:paraId="7E5C3CAF" w14:textId="0C9FB2A7" w:rsidR="00AD7A6D" w:rsidRPr="00AA05B5" w:rsidRDefault="00D43644" w:rsidP="00AA05B5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96953">
              <w:rPr>
                <w:rFonts w:ascii="Arial" w:hAnsi="Arial" w:cs="Arial"/>
                <w:b/>
                <w:sz w:val="24"/>
                <w:szCs w:val="24"/>
              </w:rPr>
              <w:t>Hengyi</w:t>
            </w:r>
            <w:proofErr w:type="spellEnd"/>
            <w:r w:rsidRPr="00896953">
              <w:rPr>
                <w:rFonts w:ascii="Arial" w:hAnsi="Arial" w:cs="Arial"/>
                <w:b/>
                <w:sz w:val="24"/>
                <w:szCs w:val="24"/>
              </w:rPr>
              <w:t xml:space="preserve"> Industries </w:t>
            </w:r>
            <w:proofErr w:type="spellStart"/>
            <w:r w:rsidRPr="00896953">
              <w:rPr>
                <w:rFonts w:ascii="Arial" w:hAnsi="Arial" w:cs="Arial"/>
                <w:b/>
                <w:sz w:val="24"/>
                <w:szCs w:val="24"/>
              </w:rPr>
              <w:t>Sdn</w:t>
            </w:r>
            <w:proofErr w:type="spellEnd"/>
            <w:r w:rsidRPr="008969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6953">
              <w:rPr>
                <w:rFonts w:ascii="Arial" w:hAnsi="Arial" w:cs="Arial"/>
                <w:b/>
                <w:sz w:val="24"/>
                <w:szCs w:val="24"/>
              </w:rPr>
              <w:t>Bhd</w:t>
            </w:r>
            <w:proofErr w:type="spellEnd"/>
            <w:r w:rsidR="00AA05B5"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proofErr w:type="gramStart"/>
            <w:r w:rsidR="00AD7A6D" w:rsidRPr="00A176F8">
              <w:rPr>
                <w:rFonts w:ascii="黑体" w:eastAsia="黑体" w:hAnsi="黑体" w:cs="Arial"/>
                <w:b/>
                <w:sz w:val="24"/>
                <w:szCs w:val="24"/>
              </w:rPr>
              <w:t>恒逸实业</w:t>
            </w:r>
            <w:proofErr w:type="gramEnd"/>
            <w:r w:rsidR="00AD7A6D" w:rsidRPr="00A176F8">
              <w:rPr>
                <w:rFonts w:ascii="黑体" w:eastAsia="黑体" w:hAnsi="黑体" w:cs="Arial"/>
                <w:b/>
                <w:sz w:val="24"/>
                <w:szCs w:val="24"/>
              </w:rPr>
              <w:t>（文莱）有限公司</w:t>
            </w:r>
          </w:p>
        </w:tc>
      </w:tr>
      <w:tr w:rsidR="00AD7A6D" w:rsidRPr="00896953" w14:paraId="7BB9A730" w14:textId="77777777" w:rsidTr="00896953">
        <w:trPr>
          <w:trHeight w:val="640"/>
          <w:jc w:val="center"/>
        </w:trPr>
        <w:tc>
          <w:tcPr>
            <w:tcW w:w="801" w:type="pct"/>
            <w:vMerge/>
            <w:shd w:val="clear" w:color="auto" w:fill="auto"/>
          </w:tcPr>
          <w:p w14:paraId="5A2D9C5B" w14:textId="77777777" w:rsidR="00AD7A6D" w:rsidRPr="00896953" w:rsidRDefault="00AD7A6D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9" w:type="pct"/>
            <w:gridSpan w:val="5"/>
            <w:shd w:val="clear" w:color="auto" w:fill="auto"/>
            <w:vAlign w:val="center"/>
          </w:tcPr>
          <w:p w14:paraId="3F31FCBD" w14:textId="5AE60131" w:rsidR="00AD7A6D" w:rsidRPr="00AA05B5" w:rsidRDefault="00E15F1B" w:rsidP="00AA05B5">
            <w:pPr>
              <w:pStyle w:val="a3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8B40E1">
              <w:rPr>
                <w:rFonts w:ascii="Arial" w:eastAsia="Arial Unicode MS" w:hAnsi="Arial" w:cs="Arial"/>
                <w:b/>
                <w:sz w:val="24"/>
                <w:szCs w:val="24"/>
              </w:rPr>
              <w:t>Monthly HSE Meeting Minutes</w:t>
            </w:r>
            <w:r w:rsidRPr="008B40E1">
              <w:rPr>
                <w:rFonts w:ascii="Arial" w:eastAsia="黑体" w:hAnsi="Arial" w:cs="Arial"/>
                <w:b/>
                <w:sz w:val="24"/>
                <w:szCs w:val="24"/>
              </w:rPr>
              <w:t>月度</w:t>
            </w:r>
            <w:r w:rsidRPr="008B40E1">
              <w:rPr>
                <w:rFonts w:ascii="Arial" w:eastAsia="黑体" w:hAnsi="Arial" w:cs="Arial"/>
                <w:b/>
                <w:sz w:val="24"/>
                <w:szCs w:val="24"/>
              </w:rPr>
              <w:t>HSE</w:t>
            </w:r>
            <w:r w:rsidRPr="008B40E1">
              <w:rPr>
                <w:rFonts w:ascii="Arial" w:eastAsia="黑体" w:hAnsi="Arial" w:cs="Arial"/>
                <w:b/>
                <w:sz w:val="24"/>
                <w:szCs w:val="24"/>
              </w:rPr>
              <w:t>会议纪要</w:t>
            </w:r>
          </w:p>
        </w:tc>
      </w:tr>
      <w:tr w:rsidR="00AD7A6D" w:rsidRPr="00896953" w14:paraId="61CFB465" w14:textId="77777777" w:rsidTr="00896953">
        <w:trPr>
          <w:trHeight w:val="640"/>
          <w:jc w:val="center"/>
        </w:trPr>
        <w:tc>
          <w:tcPr>
            <w:tcW w:w="801" w:type="pct"/>
            <w:vMerge/>
            <w:shd w:val="clear" w:color="auto" w:fill="auto"/>
          </w:tcPr>
          <w:p w14:paraId="1C4FD60C" w14:textId="77777777" w:rsidR="00AD7A6D" w:rsidRPr="00896953" w:rsidRDefault="00AD7A6D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DD35CB5" w14:textId="77777777" w:rsidR="00AD7A6D" w:rsidRPr="00896953" w:rsidRDefault="00AD7A6D" w:rsidP="00896953">
            <w:pPr>
              <w:pStyle w:val="a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6953">
              <w:rPr>
                <w:rFonts w:ascii="Arial" w:hAnsi="Arial" w:cs="Arial"/>
                <w:spacing w:val="-4"/>
                <w:sz w:val="20"/>
                <w:szCs w:val="20"/>
              </w:rPr>
              <w:t>Record No.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0985721" w14:textId="6B0678A9" w:rsidR="00AD7A6D" w:rsidRPr="00896953" w:rsidRDefault="00AD7A6D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96953">
              <w:rPr>
                <w:rFonts w:ascii="Arial" w:hAnsi="Arial" w:cs="Arial"/>
                <w:spacing w:val="-6"/>
                <w:sz w:val="20"/>
                <w:szCs w:val="20"/>
              </w:rPr>
              <w:t>HYBN-T6-</w:t>
            </w:r>
            <w:r w:rsidR="00AA05B5">
              <w:rPr>
                <w:rFonts w:ascii="Arial" w:hAnsi="Arial" w:cs="Arial" w:hint="eastAsia"/>
                <w:spacing w:val="-6"/>
                <w:sz w:val="20"/>
                <w:szCs w:val="20"/>
              </w:rPr>
              <w:t>1</w:t>
            </w:r>
            <w:r w:rsidR="00A176F8">
              <w:rPr>
                <w:rFonts w:ascii="Arial" w:hAnsi="Arial" w:cs="Arial" w:hint="eastAsia"/>
                <w:spacing w:val="-6"/>
                <w:sz w:val="20"/>
                <w:szCs w:val="20"/>
              </w:rPr>
              <w:t>1</w:t>
            </w:r>
            <w:r w:rsidRPr="00896953">
              <w:rPr>
                <w:rFonts w:ascii="Arial" w:hAnsi="Arial" w:cs="Arial"/>
                <w:spacing w:val="-6"/>
                <w:sz w:val="20"/>
                <w:szCs w:val="20"/>
              </w:rPr>
              <w:t>-</w:t>
            </w:r>
            <w:r w:rsidR="00AA05B5">
              <w:rPr>
                <w:rFonts w:ascii="Arial" w:eastAsia="黑体" w:hAnsi="Arial" w:cs="Arial" w:hint="eastAsia"/>
                <w:sz w:val="21"/>
                <w:szCs w:val="21"/>
              </w:rPr>
              <w:t>20002</w:t>
            </w:r>
            <w:r w:rsidR="00AA05B5" w:rsidRPr="008B40E1">
              <w:rPr>
                <w:rFonts w:ascii="Arial" w:eastAsia="黑体" w:hAnsi="Arial" w:cs="Arial"/>
                <w:sz w:val="21"/>
                <w:szCs w:val="21"/>
              </w:rPr>
              <w:t>-</w:t>
            </w:r>
            <w:r w:rsidR="00AA05B5" w:rsidRPr="00DE20FD">
              <w:rPr>
                <w:rFonts w:ascii="Arial" w:eastAsia="黑体" w:hAnsi="Arial" w:cs="Arial" w:hint="eastAsia"/>
                <w:color w:val="FF0000"/>
                <w:sz w:val="21"/>
                <w:szCs w:val="21"/>
              </w:rPr>
              <w:t>004</w:t>
            </w:r>
            <w:r w:rsidR="00AA05B5" w:rsidRPr="008B40E1">
              <w:rPr>
                <w:rFonts w:ascii="Arial" w:eastAsia="黑体" w:hAnsi="Arial" w:cs="Arial"/>
                <w:sz w:val="21"/>
                <w:szCs w:val="21"/>
              </w:rPr>
              <w:t>-</w:t>
            </w:r>
            <w:r w:rsidR="00AA05B5">
              <w:rPr>
                <w:rFonts w:ascii="Arial" w:eastAsia="黑体" w:hAnsi="Arial" w:cs="Arial" w:hint="eastAsia"/>
                <w:sz w:val="21"/>
                <w:szCs w:val="21"/>
              </w:rPr>
              <w:t>2025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eastAsiaTheme="minorEastAsia" w:hAnsi="Arial" w:cs="Arial"/>
                <w:sz w:val="20"/>
                <w:szCs w:val="20"/>
              </w:rPr>
              <w:id w:val="-102894198"/>
              <w:docPartObj>
                <w:docPartGallery w:val="Page Numbers (Top of Page)"/>
                <w:docPartUnique/>
              </w:docPartObj>
            </w:sdtPr>
            <w:sdtEndPr/>
            <w:sdtContent>
              <w:p w14:paraId="1F5382DA" w14:textId="77777777" w:rsidR="00AD7A6D" w:rsidRPr="00896953" w:rsidRDefault="00AD7A6D" w:rsidP="00896953">
                <w:pPr>
                  <w:jc w:val="center"/>
                  <w:rPr>
                    <w:rFonts w:ascii="Arial" w:eastAsiaTheme="minorEastAsia" w:hAnsi="Arial" w:cs="Arial"/>
                    <w:sz w:val="20"/>
                    <w:szCs w:val="20"/>
                  </w:rPr>
                </w:pPr>
                <w:r w:rsidRPr="00896953">
                  <w:rPr>
                    <w:rFonts w:ascii="Arial" w:eastAsiaTheme="minorEastAsia" w:hAnsi="Arial" w:cs="Arial"/>
                    <w:sz w:val="20"/>
                    <w:szCs w:val="20"/>
                  </w:rPr>
                  <w:t xml:space="preserve">Page  </w:t>
                </w:r>
                <w:sdt>
                  <w:sdtPr>
                    <w:rPr>
                      <w:rFonts w:ascii="Arial" w:eastAsiaTheme="minorEastAsia" w:hAnsi="Arial" w:cs="Arial"/>
                      <w:sz w:val="20"/>
                      <w:szCs w:val="20"/>
                    </w:rPr>
                    <w:id w:val="625747045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  <w:id w:val="-1988687231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896953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896953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896953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96953">
                          <w:rPr>
                            <w:rFonts w:ascii="Arial" w:eastAsiaTheme="minorEastAsia" w:hAnsi="Arial" w:cs="Arial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896953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896953">
                          <w:rPr>
                            <w:rFonts w:ascii="Arial" w:eastAsiaTheme="minorEastAsia" w:hAnsi="Arial" w:cs="Arial"/>
                            <w:sz w:val="20"/>
                            <w:szCs w:val="20"/>
                            <w:lang w:val="zh-CN"/>
                          </w:rPr>
                          <w:t xml:space="preserve">  </w:t>
                        </w:r>
                        <w:r w:rsidRPr="00896953">
                          <w:rPr>
                            <w:rFonts w:ascii="Arial" w:eastAsiaTheme="minorEastAsia" w:hAnsi="Arial" w:cs="Arial"/>
                            <w:bCs/>
                            <w:sz w:val="20"/>
                            <w:szCs w:val="20"/>
                          </w:rPr>
                          <w:t>of</w:t>
                        </w:r>
                        <w:r w:rsidRPr="00896953">
                          <w:rPr>
                            <w:rFonts w:ascii="Arial" w:eastAsiaTheme="minorEastAsia" w:hAnsi="Arial" w:cs="Arial"/>
                            <w:sz w:val="20"/>
                            <w:szCs w:val="20"/>
                            <w:lang w:val="zh-CN"/>
                          </w:rPr>
                          <w:t xml:space="preserve">  </w:t>
                        </w:r>
                        <w:r w:rsidRPr="00896953">
                          <w:rPr>
                            <w:rFonts w:ascii="Arial" w:eastAsiaTheme="minorEastAsia" w:hAnsi="Arial" w:cs="Arial"/>
                            <w:sz w:val="20"/>
                            <w:szCs w:val="20"/>
                            <w:lang w:val="zh-CN"/>
                          </w:rPr>
                          <w:fldChar w:fldCharType="begin"/>
                        </w:r>
                        <w:r w:rsidRPr="00896953">
                          <w:rPr>
                            <w:rFonts w:ascii="Arial" w:eastAsiaTheme="minorEastAsia" w:hAnsi="Arial" w:cs="Arial"/>
                            <w:sz w:val="20"/>
                            <w:szCs w:val="20"/>
                            <w:lang w:val="zh-CN"/>
                          </w:rPr>
                          <w:instrText xml:space="preserve"> SECTIONPAGES  \* Arabic  \* MERGEFORMAT </w:instrText>
                        </w:r>
                        <w:r w:rsidRPr="00896953">
                          <w:rPr>
                            <w:rFonts w:ascii="Arial" w:eastAsiaTheme="minorEastAsia" w:hAnsi="Arial" w:cs="Arial"/>
                            <w:sz w:val="20"/>
                            <w:szCs w:val="20"/>
                            <w:lang w:val="zh-CN"/>
                          </w:rPr>
                          <w:fldChar w:fldCharType="separate"/>
                        </w:r>
                        <w:r w:rsidRPr="00896953">
                          <w:rPr>
                            <w:rFonts w:ascii="Arial" w:eastAsiaTheme="minorEastAsia" w:hAnsi="Arial" w:cs="Arial"/>
                            <w:noProof/>
                            <w:sz w:val="20"/>
                            <w:szCs w:val="20"/>
                            <w:lang w:val="zh-CN"/>
                          </w:rPr>
                          <w:t>2</w:t>
                        </w:r>
                        <w:r w:rsidRPr="00896953">
                          <w:rPr>
                            <w:rFonts w:ascii="Arial" w:eastAsiaTheme="minorEastAsia" w:hAnsi="Arial" w:cs="Arial"/>
                            <w:sz w:val="20"/>
                            <w:szCs w:val="20"/>
                            <w:lang w:val="zh-CN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AD7A6D" w:rsidRPr="00896953" w14:paraId="555D8C6E" w14:textId="77777777" w:rsidTr="00896953">
        <w:trPr>
          <w:trHeight w:val="640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7848604D" w14:textId="77777777" w:rsidR="00D43644" w:rsidRPr="00896953" w:rsidRDefault="00D43644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96953">
              <w:rPr>
                <w:rFonts w:ascii="Arial" w:hAnsi="Arial" w:cs="Arial"/>
                <w:sz w:val="20"/>
                <w:szCs w:val="20"/>
              </w:rPr>
              <w:t>Meeting Title</w:t>
            </w:r>
          </w:p>
          <w:p w14:paraId="0BA37378" w14:textId="77777777" w:rsidR="00AD7A6D" w:rsidRPr="00896953" w:rsidRDefault="00AD7A6D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96953">
              <w:rPr>
                <w:rFonts w:ascii="Arial" w:hAnsi="Arial" w:cs="Arial"/>
                <w:sz w:val="20"/>
                <w:szCs w:val="20"/>
              </w:rPr>
              <w:t>会议名称</w:t>
            </w:r>
          </w:p>
        </w:tc>
        <w:tc>
          <w:tcPr>
            <w:tcW w:w="2416" w:type="pct"/>
            <w:gridSpan w:val="2"/>
            <w:shd w:val="clear" w:color="auto" w:fill="auto"/>
            <w:vAlign w:val="center"/>
          </w:tcPr>
          <w:p w14:paraId="2EB7488C" w14:textId="77777777" w:rsidR="00E15F1B" w:rsidRPr="00E15F1B" w:rsidRDefault="00E15F1B" w:rsidP="00E15F1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15F1B">
              <w:rPr>
                <w:rFonts w:ascii="Arial" w:hAnsi="Arial" w:cs="Arial"/>
                <w:sz w:val="20"/>
                <w:szCs w:val="20"/>
              </w:rPr>
              <w:t xml:space="preserve">Monthly HSE meeting </w:t>
            </w:r>
          </w:p>
          <w:p w14:paraId="18918210" w14:textId="4866F2E2" w:rsidR="00AD7A6D" w:rsidRPr="00896953" w:rsidRDefault="00E15F1B" w:rsidP="00E15F1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15F1B">
              <w:rPr>
                <w:rFonts w:ascii="Arial" w:hAnsi="Arial" w:cs="Arial" w:hint="eastAsia"/>
                <w:sz w:val="20"/>
                <w:szCs w:val="20"/>
              </w:rPr>
              <w:t>月度</w:t>
            </w:r>
            <w:r w:rsidRPr="00E15F1B">
              <w:rPr>
                <w:rFonts w:ascii="Arial" w:hAnsi="Arial" w:cs="Arial" w:hint="eastAsia"/>
                <w:sz w:val="20"/>
                <w:szCs w:val="20"/>
              </w:rPr>
              <w:t>HSE</w:t>
            </w:r>
            <w:r w:rsidRPr="00E15F1B">
              <w:rPr>
                <w:rFonts w:ascii="Arial" w:hAnsi="Arial" w:cs="Arial" w:hint="eastAsia"/>
                <w:sz w:val="20"/>
                <w:szCs w:val="20"/>
              </w:rPr>
              <w:t>例会</w:t>
            </w:r>
            <w:r w:rsidRPr="00E15F1B"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14:paraId="21374D85" w14:textId="77777777" w:rsidR="00D43644" w:rsidRPr="00896953" w:rsidRDefault="00D43644" w:rsidP="00896953">
            <w:pPr>
              <w:tabs>
                <w:tab w:val="left" w:pos="615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96953">
              <w:rPr>
                <w:rFonts w:ascii="Arial" w:eastAsiaTheme="minorEastAsia" w:hAnsi="Arial" w:cs="Arial"/>
                <w:sz w:val="20"/>
                <w:szCs w:val="20"/>
              </w:rPr>
              <w:t>Chairperson</w:t>
            </w:r>
          </w:p>
          <w:p w14:paraId="61A5B983" w14:textId="77777777" w:rsidR="00AD7A6D" w:rsidRPr="00896953" w:rsidRDefault="00AD7A6D" w:rsidP="00896953">
            <w:pPr>
              <w:tabs>
                <w:tab w:val="left" w:pos="615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96953">
              <w:rPr>
                <w:rFonts w:ascii="Arial" w:eastAsiaTheme="minorEastAsia" w:hAnsi="Arial" w:cs="Arial"/>
                <w:sz w:val="20"/>
                <w:szCs w:val="20"/>
              </w:rPr>
              <w:t>主持人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2DCABA65" w14:textId="3117F889" w:rsidR="00AD7A6D" w:rsidRPr="00896953" w:rsidRDefault="00E15F1B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872EB">
              <w:rPr>
                <w:rFonts w:ascii="宋体" w:eastAsia="宋体" w:hAnsi="宋体" w:cs="Arial"/>
                <w:sz w:val="24"/>
                <w:szCs w:val="24"/>
              </w:rPr>
              <w:t>杨 帆</w:t>
            </w:r>
          </w:p>
        </w:tc>
      </w:tr>
      <w:tr w:rsidR="00AD7A6D" w:rsidRPr="00896953" w14:paraId="087DDBBE" w14:textId="77777777" w:rsidTr="00896953">
        <w:trPr>
          <w:trHeight w:val="632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00E14CB4" w14:textId="77777777" w:rsidR="00896953" w:rsidRPr="00896953" w:rsidRDefault="00D43644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96953">
              <w:rPr>
                <w:rFonts w:ascii="Arial" w:hAnsi="Arial" w:cs="Arial"/>
                <w:sz w:val="20"/>
                <w:szCs w:val="20"/>
              </w:rPr>
              <w:t>Date/</w:t>
            </w:r>
          </w:p>
          <w:p w14:paraId="5E4848B7" w14:textId="77777777" w:rsidR="00AD7A6D" w:rsidRPr="00896953" w:rsidRDefault="00AD7A6D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96953">
              <w:rPr>
                <w:rFonts w:ascii="Arial" w:hAnsi="Arial" w:cs="Arial"/>
                <w:sz w:val="20"/>
                <w:szCs w:val="20"/>
              </w:rPr>
              <w:t>时间</w:t>
            </w:r>
          </w:p>
        </w:tc>
        <w:tc>
          <w:tcPr>
            <w:tcW w:w="2416" w:type="pct"/>
            <w:gridSpan w:val="2"/>
            <w:shd w:val="clear" w:color="auto" w:fill="auto"/>
            <w:vAlign w:val="center"/>
          </w:tcPr>
          <w:p w14:paraId="161A7E95" w14:textId="42402D6A" w:rsidR="00AD7A6D" w:rsidRPr="00896953" w:rsidRDefault="00E15F1B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2025</w:t>
            </w: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14:paraId="1176E0DD" w14:textId="77777777" w:rsidR="00896953" w:rsidRPr="00896953" w:rsidRDefault="00D43644" w:rsidP="00896953">
            <w:pPr>
              <w:pStyle w:val="a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6953">
              <w:rPr>
                <w:rFonts w:ascii="Arial" w:hAnsi="Arial" w:cs="Arial"/>
                <w:sz w:val="20"/>
                <w:szCs w:val="20"/>
              </w:rPr>
              <w:t>Venue</w:t>
            </w:r>
            <w:r w:rsidRPr="00896953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</w:p>
          <w:p w14:paraId="189D43BF" w14:textId="77777777" w:rsidR="00AD7A6D" w:rsidRPr="00896953" w:rsidRDefault="00AD7A6D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96953">
              <w:rPr>
                <w:rFonts w:ascii="Arial" w:hAnsi="Arial" w:cs="Arial"/>
                <w:sz w:val="20"/>
                <w:szCs w:val="20"/>
              </w:rPr>
              <w:t>地点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43CB879" w14:textId="230FCCE2" w:rsidR="00AD7A6D" w:rsidRPr="00896953" w:rsidRDefault="00E15F1B" w:rsidP="0089695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CCR 209</w:t>
            </w:r>
          </w:p>
        </w:tc>
      </w:tr>
      <w:tr w:rsidR="00AD7A6D" w:rsidRPr="00896953" w14:paraId="5C443E4A" w14:textId="77777777" w:rsidTr="00AA05B5">
        <w:trPr>
          <w:trHeight w:val="129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F63BD12" w14:textId="6964D3F3" w:rsidR="00896953" w:rsidRPr="00896953" w:rsidRDefault="00E15F1B" w:rsidP="00896953">
            <w:pPr>
              <w:pStyle w:val="a3"/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7216" behindDoc="1" locked="0" layoutInCell="1" allowOverlap="1" wp14:anchorId="18E6978E" wp14:editId="6CB57D17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116840</wp:posOffset>
                  </wp:positionV>
                  <wp:extent cx="1365250" cy="35242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644" w:rsidRPr="00896953">
              <w:rPr>
                <w:rFonts w:ascii="Arial" w:hAnsi="Arial" w:cs="Arial"/>
                <w:b/>
                <w:sz w:val="20"/>
                <w:szCs w:val="20"/>
              </w:rPr>
              <w:t xml:space="preserve">Signer </w:t>
            </w:r>
            <w:r w:rsidR="00D43644" w:rsidRPr="008969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/ </w:t>
            </w:r>
          </w:p>
          <w:p w14:paraId="5C628CF2" w14:textId="5B94754C" w:rsidR="00AD7A6D" w:rsidRPr="00896953" w:rsidRDefault="00AD7A6D" w:rsidP="00896953">
            <w:pPr>
              <w:pStyle w:val="a3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6953">
              <w:rPr>
                <w:rFonts w:ascii="Arial" w:hAnsi="Arial" w:cs="Arial"/>
                <w:b/>
                <w:sz w:val="20"/>
                <w:szCs w:val="20"/>
                <w:lang w:val="en-GB"/>
              </w:rPr>
              <w:t>签发</w:t>
            </w:r>
            <w:r w:rsidRPr="00896953">
              <w:rPr>
                <w:rFonts w:ascii="Arial" w:hAnsi="Arial" w:cs="Arial"/>
                <w:b/>
                <w:sz w:val="20"/>
                <w:szCs w:val="20"/>
              </w:rPr>
              <w:t>人</w:t>
            </w:r>
            <w:r w:rsidR="00D43644" w:rsidRPr="00896953">
              <w:rPr>
                <w:rFonts w:ascii="Arial" w:hAnsi="Arial" w:cs="Arial"/>
                <w:b/>
                <w:sz w:val="20"/>
                <w:szCs w:val="20"/>
              </w:rPr>
              <w:t>：</w:t>
            </w:r>
          </w:p>
          <w:p w14:paraId="4BC6078A" w14:textId="77777777" w:rsidR="00896953" w:rsidRPr="00896953" w:rsidRDefault="00D43644" w:rsidP="00896953">
            <w:pPr>
              <w:pStyle w:val="a3"/>
              <w:ind w:firstLineChars="2250" w:firstLine="4518"/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695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D7A6D" w:rsidRPr="00896953">
              <w:rPr>
                <w:rFonts w:ascii="Arial" w:hAnsi="Arial" w:cs="Arial"/>
                <w:b/>
                <w:sz w:val="20"/>
                <w:szCs w:val="20"/>
              </w:rPr>
              <w:t>igning Date</w:t>
            </w:r>
            <w:r w:rsidRPr="008969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</w:t>
            </w:r>
          </w:p>
          <w:p w14:paraId="071C1AFE" w14:textId="7984665E" w:rsidR="00AD7A6D" w:rsidRPr="00896953" w:rsidRDefault="00D43644" w:rsidP="00896953">
            <w:pPr>
              <w:pStyle w:val="a3"/>
              <w:ind w:firstLineChars="2250" w:firstLine="4518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6953">
              <w:rPr>
                <w:rFonts w:ascii="Arial" w:hAnsi="Arial" w:cs="Arial"/>
                <w:b/>
                <w:sz w:val="20"/>
                <w:szCs w:val="20"/>
                <w:lang w:val="en-GB"/>
              </w:rPr>
              <w:t>签发日期</w:t>
            </w:r>
            <w:r w:rsidR="00AD7A6D" w:rsidRPr="00896953">
              <w:rPr>
                <w:rFonts w:ascii="Arial" w:hAnsi="Arial" w:cs="Arial"/>
                <w:b/>
                <w:sz w:val="20"/>
                <w:szCs w:val="20"/>
              </w:rPr>
              <w:t>：</w:t>
            </w:r>
            <w:r w:rsidR="00E15F1B" w:rsidRPr="008B40E1">
              <w:rPr>
                <w:rFonts w:ascii="Arial" w:eastAsia="仿宋_GB2312" w:hAnsi="Arial" w:cs="Arial"/>
                <w:bCs/>
                <w:sz w:val="21"/>
                <w:szCs w:val="21"/>
              </w:rPr>
              <w:t>2025</w:t>
            </w:r>
            <w:r w:rsidR="00E15F1B">
              <w:rPr>
                <w:rFonts w:ascii="Arial" w:eastAsia="仿宋_GB2312" w:hAnsi="Arial" w:cs="Arial" w:hint="eastAsia"/>
                <w:bCs/>
                <w:sz w:val="21"/>
                <w:szCs w:val="21"/>
              </w:rPr>
              <w:t>/</w:t>
            </w:r>
            <w:r w:rsidR="00E15F1B">
              <w:rPr>
                <w:rFonts w:ascii="Arial" w:eastAsia="仿宋_GB2312" w:hAnsi="Arial" w:cs="Arial"/>
                <w:bCs/>
                <w:sz w:val="21"/>
                <w:szCs w:val="21"/>
              </w:rPr>
              <w:t>5</w:t>
            </w:r>
            <w:r w:rsidR="00E15F1B">
              <w:rPr>
                <w:rFonts w:ascii="Arial" w:eastAsia="仿宋_GB2312" w:hAnsi="Arial" w:cs="Arial" w:hint="eastAsia"/>
                <w:bCs/>
                <w:sz w:val="21"/>
                <w:szCs w:val="21"/>
              </w:rPr>
              <w:t>/</w:t>
            </w:r>
            <w:r w:rsidR="00E15F1B">
              <w:rPr>
                <w:rFonts w:ascii="Arial" w:eastAsia="仿宋_GB2312" w:hAnsi="Arial" w:cs="Arial"/>
                <w:bCs/>
                <w:sz w:val="21"/>
                <w:szCs w:val="21"/>
              </w:rPr>
              <w:t>2</w:t>
            </w:r>
          </w:p>
        </w:tc>
      </w:tr>
      <w:tr w:rsidR="00AD7A6D" w:rsidRPr="00896953" w14:paraId="4B68E720" w14:textId="77777777" w:rsidTr="00AA05B5">
        <w:trPr>
          <w:trHeight w:val="139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ACA82A" w14:textId="26D915AE" w:rsidR="00AD7A6D" w:rsidRPr="00896953" w:rsidRDefault="00D43644" w:rsidP="00896953">
            <w:pPr>
              <w:pStyle w:val="a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96953">
              <w:rPr>
                <w:rFonts w:ascii="Arial" w:hAnsi="Arial" w:cs="Arial"/>
                <w:b/>
                <w:sz w:val="20"/>
                <w:szCs w:val="20"/>
              </w:rPr>
              <w:t>Attendees /</w:t>
            </w:r>
            <w:r w:rsidR="00AD7A6D" w:rsidRPr="00896953">
              <w:rPr>
                <w:rFonts w:ascii="Arial" w:hAnsi="Arial" w:cs="Arial"/>
                <w:b/>
                <w:sz w:val="20"/>
                <w:szCs w:val="20"/>
              </w:rPr>
              <w:t>参会人员</w:t>
            </w:r>
            <w:r w:rsidR="00AD7A6D" w:rsidRPr="008969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625D99A" w14:textId="070D363E" w:rsidR="00AD7A6D" w:rsidRPr="00896953" w:rsidRDefault="00E15F1B" w:rsidP="00E15F1B">
            <w:pPr>
              <w:pStyle w:val="a3"/>
              <w:ind w:firstLineChars="200" w:firstLine="440"/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5F1B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>杨帆、杨仕海、阿地里布力布力、毛奕清、江志宁、WAFI、蒋翔明、</w:t>
            </w:r>
            <w:r w:rsidR="00BC1EB0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>汪春</w:t>
            </w:r>
            <w:proofErr w:type="gramStart"/>
            <w:r w:rsidR="00BC1EB0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>樘</w:t>
            </w:r>
            <w:proofErr w:type="gramEnd"/>
            <w:r w:rsidR="00BC1EB0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>、</w:t>
            </w:r>
            <w:r w:rsidRPr="00E15F1B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>赵覃学、孔庆站、蒋恒、高俊杰、赵蔚、赵利霞、杨诗惟、黄艳芯</w:t>
            </w:r>
            <w:r w:rsidR="00BC1EB0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>、T</w:t>
            </w:r>
            <w:r w:rsidR="00BC1EB0">
              <w:rPr>
                <w:rFonts w:asciiTheme="minorEastAsia" w:hAnsiTheme="minorEastAsia" w:cs="Arial"/>
                <w:bCs/>
                <w:sz w:val="22"/>
                <w:szCs w:val="22"/>
              </w:rPr>
              <w:t>OK SHENG HUNG</w:t>
            </w:r>
          </w:p>
          <w:p w14:paraId="0519D765" w14:textId="77777777" w:rsidR="00AD7A6D" w:rsidRPr="00896953" w:rsidRDefault="00AD7A6D" w:rsidP="00896953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7A6D" w:rsidRPr="00896953" w14:paraId="12BA0845" w14:textId="77777777" w:rsidTr="00896953">
        <w:trPr>
          <w:trHeight w:val="63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280394A" w14:textId="0EED4322" w:rsidR="00AD7A6D" w:rsidRDefault="00D43644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96953">
              <w:rPr>
                <w:rFonts w:ascii="Arial" w:eastAsiaTheme="minorEastAsia" w:hAnsi="Arial" w:cs="Arial"/>
                <w:b/>
                <w:sz w:val="20"/>
                <w:szCs w:val="20"/>
              </w:rPr>
              <w:t>Content</w:t>
            </w:r>
            <w:r w:rsidRPr="00896953"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896953">
              <w:rPr>
                <w:rFonts w:ascii="Arial" w:eastAsiaTheme="minorEastAsia" w:hAnsi="Arial" w:cs="Arial"/>
                <w:b/>
                <w:sz w:val="20"/>
                <w:szCs w:val="20"/>
              </w:rPr>
              <w:t>/</w:t>
            </w:r>
            <w:r w:rsidR="00AD7A6D" w:rsidRPr="00896953">
              <w:rPr>
                <w:rFonts w:ascii="Arial" w:eastAsiaTheme="minorEastAsia" w:hAnsi="Arial" w:cs="Arial"/>
                <w:b/>
                <w:sz w:val="20"/>
                <w:szCs w:val="20"/>
              </w:rPr>
              <w:t>纪要内容：</w:t>
            </w:r>
          </w:p>
          <w:p w14:paraId="42A1DD02" w14:textId="04F4316B" w:rsidR="00BC1EB0" w:rsidRPr="00BC1EB0" w:rsidRDefault="00BC1EB0" w:rsidP="00F52BA1">
            <w:pPr>
              <w:tabs>
                <w:tab w:val="left" w:pos="615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</w:pPr>
            <w:r w:rsidRPr="00BC1EB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2025年</w:t>
            </w:r>
            <w:r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5</w:t>
            </w:r>
            <w:r w:rsidRPr="00BC1EB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月</w:t>
            </w:r>
            <w:r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2</w:t>
            </w:r>
            <w:r w:rsidRPr="00BC1EB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日，炼油二部召开</w:t>
            </w:r>
            <w:r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4</w:t>
            </w:r>
            <w:r w:rsidRPr="00BC1EB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月份HSE例会，HSE专业负责人组织学习了</w:t>
            </w:r>
            <w:r w:rsidR="00C77912" w:rsidRPr="00C77912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《5.30事故回顾简报》《历史上四月发生的危险化学品事故》</w:t>
            </w:r>
            <w:r w:rsidRPr="00BC1EB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等公司要求学习的事故内容，并观看“</w:t>
            </w:r>
            <w:r w:rsidR="00C77912" w:rsidRPr="00C77912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Williams炼油厂换热器爆炸</w:t>
            </w:r>
            <w:r w:rsidRPr="00BC1EB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”视频，最后对</w:t>
            </w:r>
            <w:r w:rsidR="00C77912"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4</w:t>
            </w:r>
            <w:r w:rsidRPr="00BC1EB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月份HSE日、周、月检、高风险作业等工作开展情况以及月报材料进行汇报。</w:t>
            </w:r>
            <w:r w:rsidR="00C77912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杨</w:t>
            </w:r>
            <w:r w:rsidRPr="00BC1EB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部针对视频内容指出：</w:t>
            </w:r>
            <w:r w:rsidR="00C77912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停止使用设备管理必须用盲板可靠隔断，用惰性气体保护</w:t>
            </w:r>
            <w:r w:rsidR="001075AE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，不得超压</w:t>
            </w:r>
            <w:r w:rsidRPr="00BC1EB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。</w:t>
            </w:r>
            <w:r w:rsidR="0069442C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投用前必须检查设备，确认投用条件。</w:t>
            </w:r>
            <w:r w:rsidR="00F52BA1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本装置的停用设备目前符合隔离要求。</w:t>
            </w:r>
          </w:p>
          <w:p w14:paraId="56A87256" w14:textId="77777777" w:rsidR="00BC1EB0" w:rsidRPr="00BC1EB0" w:rsidRDefault="00BC1EB0" w:rsidP="00F52BA1">
            <w:pPr>
              <w:tabs>
                <w:tab w:val="left" w:pos="615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</w:pPr>
            <w:r w:rsidRPr="00BC1EB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部门领导对近期HSE专业工作进行了点评，对下月HSE工作提出了具体要求，各专业对事故学习发表意见，会议纪要如下：</w:t>
            </w:r>
          </w:p>
          <w:p w14:paraId="220CB5FB" w14:textId="4C782FDB" w:rsidR="00BC1EB0" w:rsidRPr="0069442C" w:rsidRDefault="0069442C" w:rsidP="00F52BA1">
            <w:pPr>
              <w:pStyle w:val="aa"/>
              <w:numPr>
                <w:ilvl w:val="0"/>
                <w:numId w:val="1"/>
              </w:numPr>
              <w:tabs>
                <w:tab w:val="left" w:pos="615"/>
              </w:tabs>
              <w:spacing w:line="360" w:lineRule="auto"/>
              <w:ind w:firstLineChars="0"/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</w:pPr>
            <w:r w:rsidRPr="0069442C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五月是公司安全生产月，H</w:t>
            </w:r>
            <w:r w:rsidRPr="0069442C"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SE</w:t>
            </w:r>
            <w:r w:rsidRPr="0069442C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部会到各部门抽查事故事件学习情况，</w:t>
            </w:r>
            <w:r w:rsidR="001075AE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计调部会</w:t>
            </w:r>
            <w:r w:rsidR="00AA05B5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抽查</w:t>
            </w:r>
            <w:r w:rsidR="001075AE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部门取样器规范取样情况，</w:t>
            </w:r>
            <w:r w:rsidRPr="0069442C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部门内部先进行</w:t>
            </w:r>
            <w:r w:rsidR="001075AE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自查、</w:t>
            </w:r>
            <w:r w:rsidRPr="0069442C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自检</w:t>
            </w:r>
            <w:r w:rsidR="00BC1EB0" w:rsidRPr="0069442C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。</w:t>
            </w:r>
            <w:r w:rsidR="0043435B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部门已经下发了</w:t>
            </w:r>
            <w:r w:rsidR="00895075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《</w:t>
            </w:r>
            <w:r w:rsidR="00895075" w:rsidRPr="00895075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炼油二部开展安全生产月活动的通知</w:t>
            </w:r>
            <w:r w:rsidR="00895075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》，希望各位认真履行职责，带领班组平稳度过安全生产月，并以此为契机提升安全管理水平。</w:t>
            </w:r>
          </w:p>
          <w:p w14:paraId="5B6E6FBC" w14:textId="7241EC8A" w:rsidR="0069442C" w:rsidRPr="00BE7C02" w:rsidRDefault="00BE7C02" w:rsidP="00BE7C02">
            <w:pPr>
              <w:pStyle w:val="aa"/>
              <w:numPr>
                <w:ilvl w:val="0"/>
                <w:numId w:val="1"/>
              </w:numPr>
              <w:tabs>
                <w:tab w:val="left" w:pos="615"/>
              </w:tabs>
              <w:spacing w:line="360" w:lineRule="auto"/>
              <w:ind w:firstLineChars="0"/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安全生产月期间合理控制作业数量，管理人员勤于检查，现场管控力度</w:t>
            </w:r>
            <w:r w:rsidR="00AA05B5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要</w:t>
            </w: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加强。公司要求现场</w:t>
            </w:r>
            <w:r w:rsidR="00AA05B5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液位计、</w:t>
            </w:r>
            <w:proofErr w:type="gramStart"/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压力表手阀限位</w:t>
            </w:r>
            <w:proofErr w:type="gramEnd"/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检查，</w:t>
            </w:r>
            <w:r w:rsidR="00AC6009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以</w:t>
            </w: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减小事故发生</w:t>
            </w:r>
            <w:r w:rsidR="00AC6009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的</w:t>
            </w: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危害性。</w:t>
            </w:r>
          </w:p>
          <w:p w14:paraId="22A8F9D1" w14:textId="00E8A734" w:rsidR="0069442C" w:rsidRDefault="00BE7C02" w:rsidP="00F52BA1">
            <w:pPr>
              <w:pStyle w:val="aa"/>
              <w:numPr>
                <w:ilvl w:val="0"/>
                <w:numId w:val="1"/>
              </w:numPr>
              <w:tabs>
                <w:tab w:val="left" w:pos="615"/>
              </w:tabs>
              <w:spacing w:line="360" w:lineRule="auto"/>
              <w:ind w:firstLineChars="0"/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五</w:t>
            </w:r>
            <w:r w:rsidR="0069442C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月工艺</w:t>
            </w:r>
            <w:proofErr w:type="gramStart"/>
            <w:r w:rsidR="0069442C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演练</w:t>
            </w:r>
            <w:r w:rsidR="00F52BA1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按</w:t>
            </w:r>
            <w:proofErr w:type="gramEnd"/>
            <w:r w:rsidR="00F52BA1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公司要求</w:t>
            </w:r>
            <w:proofErr w:type="gramStart"/>
            <w:r w:rsidR="00F52BA1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演练长</w:t>
            </w:r>
            <w:proofErr w:type="gramEnd"/>
            <w:r w:rsidR="00F52BA1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时间停电直至D</w:t>
            </w:r>
            <w:r w:rsidR="00F52BA1"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CS</w:t>
            </w:r>
            <w:r w:rsidR="00F52BA1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电源失电，H</w:t>
            </w:r>
            <w:r w:rsidR="00F52BA1"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SE</w:t>
            </w:r>
            <w:r w:rsidR="00F52BA1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演练计划是反应器法兰着火。</w:t>
            </w:r>
            <w:r w:rsidR="001075AE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类似演练前期都有经验，各位管理人员要组织、优化演练步骤，更加贴合实际情况。</w:t>
            </w:r>
          </w:p>
          <w:p w14:paraId="28C16AB6" w14:textId="5211BA49" w:rsidR="001075AE" w:rsidRDefault="00AA05B5" w:rsidP="00F52BA1">
            <w:pPr>
              <w:pStyle w:val="aa"/>
              <w:numPr>
                <w:ilvl w:val="0"/>
                <w:numId w:val="1"/>
              </w:numPr>
              <w:tabs>
                <w:tab w:val="left" w:pos="615"/>
              </w:tabs>
              <w:spacing w:line="360" w:lineRule="auto"/>
              <w:ind w:firstLineChars="0"/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lastRenderedPageBreak/>
              <w:t>本月第二周</w:t>
            </w:r>
            <w:r w:rsidR="00603428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部门例会</w:t>
            </w:r>
            <w:r w:rsidR="0043435B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管理人员集中学习5</w:t>
            </w:r>
            <w:r w:rsidR="0043435B"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.30</w:t>
            </w:r>
            <w:r w:rsidR="0043435B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事故相关文件</w:t>
            </w:r>
            <w:r w:rsidR="009504EB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，</w:t>
            </w:r>
            <w:r w:rsidR="00AC6009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管理人员要</w:t>
            </w:r>
            <w:r w:rsidR="00BE7C02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以事故为鉴，</w:t>
            </w:r>
            <w:r w:rsidR="005729C0" w:rsidRPr="005729C0"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认真遵守规章制度，严格执行操作规程，</w:t>
            </w:r>
            <w:r w:rsidR="005729C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从</w:t>
            </w:r>
            <w:r w:rsidR="005729C0" w:rsidRPr="005729C0"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细节和小事</w:t>
            </w:r>
            <w:r w:rsidR="005729C0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入手，防微杜渐</w:t>
            </w:r>
            <w:r w:rsidR="0043435B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。</w:t>
            </w:r>
          </w:p>
          <w:p w14:paraId="70A94A1E" w14:textId="2C7CFCDD" w:rsidR="0043435B" w:rsidRDefault="0043435B" w:rsidP="00F52BA1">
            <w:pPr>
              <w:pStyle w:val="aa"/>
              <w:numPr>
                <w:ilvl w:val="0"/>
                <w:numId w:val="1"/>
              </w:numPr>
              <w:tabs>
                <w:tab w:val="left" w:pos="615"/>
              </w:tabs>
              <w:spacing w:line="360" w:lineRule="auto"/>
              <w:ind w:firstLineChars="0"/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五月航煤</w:t>
            </w:r>
            <w:r w:rsidR="00BE7C02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加氢</w:t>
            </w:r>
            <w:proofErr w:type="gramEnd"/>
            <w:r w:rsidR="00BE7C02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装置</w:t>
            </w:r>
            <w:proofErr w:type="gramStart"/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冷冻水</w:t>
            </w:r>
            <w:proofErr w:type="gramEnd"/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技改</w:t>
            </w:r>
            <w:r w:rsidR="00BE7C02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流程</w:t>
            </w: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开始施工，</w:t>
            </w:r>
            <w:r w:rsidR="00AC6009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预计</w:t>
            </w: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文莱同事大量参与到监护中，W</w:t>
            </w:r>
            <w:r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AFI</w:t>
            </w: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在监督</w:t>
            </w:r>
            <w:proofErr w:type="gramStart"/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检查高</w:t>
            </w:r>
            <w:proofErr w:type="gramEnd"/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风险作业现场时</w:t>
            </w:r>
            <w:r w:rsidR="00AA05B5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，</w:t>
            </w: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与</w:t>
            </w:r>
            <w:r w:rsidR="00AA05B5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监护</w:t>
            </w: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人加强沟通交流，迅速提升文方监护人监护技能。</w:t>
            </w:r>
          </w:p>
          <w:p w14:paraId="648E7B92" w14:textId="12246DDA" w:rsidR="0043435B" w:rsidRDefault="00895075" w:rsidP="00F52BA1">
            <w:pPr>
              <w:pStyle w:val="aa"/>
              <w:numPr>
                <w:ilvl w:val="0"/>
                <w:numId w:val="1"/>
              </w:numPr>
              <w:tabs>
                <w:tab w:val="left" w:pos="615"/>
              </w:tabs>
              <w:spacing w:line="360" w:lineRule="auto"/>
              <w:ind w:firstLineChars="0"/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安全生产月期间，更多关注人的不安全行为，管理人员以身作则，纠正</w:t>
            </w:r>
            <w:r w:rsidR="009504EB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装置内打手机、不按要求穿戴P</w:t>
            </w:r>
            <w:r w:rsidR="009504EB"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PE</w:t>
            </w:r>
            <w:r w:rsidR="009504EB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等违章行为。</w:t>
            </w:r>
          </w:p>
          <w:p w14:paraId="1A9701DD" w14:textId="62FF6106" w:rsidR="00BE7C02" w:rsidRDefault="00BE7C02" w:rsidP="00F52BA1">
            <w:pPr>
              <w:pStyle w:val="aa"/>
              <w:numPr>
                <w:ilvl w:val="0"/>
                <w:numId w:val="1"/>
              </w:numPr>
              <w:tabs>
                <w:tab w:val="left" w:pos="615"/>
              </w:tabs>
              <w:spacing w:line="360" w:lineRule="auto"/>
              <w:ind w:firstLineChars="0"/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公司加强垃圾分类管理，</w:t>
            </w:r>
            <w:r>
              <w:rPr>
                <w:rFonts w:asciiTheme="minorEastAsia" w:eastAsiaTheme="minorEastAsia" w:hAnsiTheme="minorEastAsia" w:cs="Arial"/>
                <w:bCs/>
                <w:sz w:val="24"/>
                <w:lang w:val="en-GB"/>
              </w:rPr>
              <w:t>HSE</w:t>
            </w: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工程师做好引导工作，</w:t>
            </w:r>
            <w:r w:rsidR="00B47A5F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加强</w:t>
            </w: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考核，提醒班组落实</w:t>
            </w:r>
            <w:r w:rsidR="00B47A5F"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好</w:t>
            </w:r>
            <w:r>
              <w:rPr>
                <w:rFonts w:asciiTheme="minorEastAsia" w:eastAsiaTheme="minorEastAsia" w:hAnsiTheme="minorEastAsia" w:cs="Arial" w:hint="eastAsia"/>
                <w:bCs/>
                <w:sz w:val="24"/>
                <w:lang w:val="en-GB"/>
              </w:rPr>
              <w:t>垃圾分类工作。</w:t>
            </w:r>
          </w:p>
          <w:p w14:paraId="5C228E45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34B8C45C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2F51C85A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6F7FF0BF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1A43B73D" w14:textId="77777777" w:rsidR="009B27F0" w:rsidRPr="00896953" w:rsidRDefault="009B27F0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32D96FB6" w14:textId="77777777" w:rsidR="009B27F0" w:rsidRPr="00896953" w:rsidRDefault="009B27F0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5A9F56B5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2DCE436F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5CFDBF75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0DA6C5F2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5204919B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1452C619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468657F1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2AE88E7F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36AF5EBA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00D1CF14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0C01ED03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40EE4F27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115F5FF4" w14:textId="77777777" w:rsidR="009B27F0" w:rsidRPr="00896953" w:rsidRDefault="009B27F0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12F0C818" w14:textId="77777777" w:rsidR="004B2A7A" w:rsidRPr="00896953" w:rsidRDefault="004B2A7A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3A38F9E4" w14:textId="77777777" w:rsidR="009B27F0" w:rsidRPr="00896953" w:rsidRDefault="009B27F0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36D76A02" w14:textId="77777777" w:rsidR="009B27F0" w:rsidRPr="00896953" w:rsidRDefault="009B27F0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010AA1D4" w14:textId="77777777" w:rsidR="009B27F0" w:rsidRPr="00896953" w:rsidRDefault="009B27F0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0FEEDFFD" w14:textId="77777777" w:rsidR="009B27F0" w:rsidRPr="00896953" w:rsidRDefault="009B27F0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5A13B990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41C2A7AF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63A7C8FA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36D607F2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4BFBA2AF" w14:textId="77777777" w:rsidR="00AD7A6D" w:rsidRPr="00896953" w:rsidRDefault="00AD7A6D" w:rsidP="00896953">
            <w:pPr>
              <w:tabs>
                <w:tab w:val="left" w:pos="615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n-GB"/>
              </w:rPr>
            </w:pPr>
          </w:p>
          <w:p w14:paraId="0F9CF044" w14:textId="77777777" w:rsidR="00AD7A6D" w:rsidRPr="00896953" w:rsidRDefault="00AD7A6D" w:rsidP="00896953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DBEEF3" w14:textId="77777777" w:rsidR="00AD7A6D" w:rsidRPr="00896953" w:rsidRDefault="00AD7A6D" w:rsidP="00896953">
      <w:pPr>
        <w:rPr>
          <w:rFonts w:ascii="Arial" w:eastAsiaTheme="minorEastAsia" w:hAnsi="Arial" w:cs="Arial"/>
          <w:b/>
          <w:szCs w:val="21"/>
          <w:lang w:val="en-GB"/>
        </w:rPr>
      </w:pPr>
    </w:p>
    <w:sectPr w:rsidR="00AD7A6D" w:rsidRPr="00896953" w:rsidSect="001E431A">
      <w:footerReference w:type="default" r:id="rId11"/>
      <w:pgSz w:w="11906" w:h="16838" w:code="9"/>
      <w:pgMar w:top="1418" w:right="1418" w:bottom="1134" w:left="1418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42EF" w14:textId="77777777" w:rsidR="00E66604" w:rsidRDefault="00E66604" w:rsidP="00D66384">
      <w:r>
        <w:separator/>
      </w:r>
    </w:p>
  </w:endnote>
  <w:endnote w:type="continuationSeparator" w:id="0">
    <w:p w14:paraId="7D39C24A" w14:textId="77777777" w:rsidR="00E66604" w:rsidRDefault="00E66604" w:rsidP="00D6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4F5A" w14:textId="6F880B08" w:rsidR="004E76A5" w:rsidRPr="00896953" w:rsidRDefault="00D43644" w:rsidP="000C59AB">
    <w:pPr>
      <w:pStyle w:val="a5"/>
      <w:tabs>
        <w:tab w:val="clear" w:pos="4153"/>
        <w:tab w:val="clear" w:pos="8306"/>
      </w:tabs>
      <w:spacing w:line="360" w:lineRule="exact"/>
      <w:rPr>
        <w:rFonts w:ascii="Arial" w:hAnsi="Arial" w:cs="Arial"/>
        <w:sz w:val="20"/>
        <w:szCs w:val="21"/>
      </w:rPr>
    </w:pPr>
    <w:proofErr w:type="spellStart"/>
    <w:r w:rsidRPr="00896953">
      <w:rPr>
        <w:rFonts w:ascii="Arial" w:hAnsi="Arial" w:cs="Arial"/>
        <w:sz w:val="20"/>
        <w:szCs w:val="21"/>
      </w:rPr>
      <w:t>Hengyi</w:t>
    </w:r>
    <w:proofErr w:type="spellEnd"/>
    <w:r w:rsidRPr="00896953">
      <w:rPr>
        <w:rFonts w:ascii="Arial" w:hAnsi="Arial" w:cs="Arial"/>
        <w:sz w:val="20"/>
        <w:szCs w:val="21"/>
      </w:rPr>
      <w:t xml:space="preserve"> Industries </w:t>
    </w:r>
    <w:proofErr w:type="spellStart"/>
    <w:r w:rsidRPr="00896953">
      <w:rPr>
        <w:rFonts w:ascii="Arial" w:hAnsi="Arial" w:cs="Arial"/>
        <w:sz w:val="20"/>
        <w:szCs w:val="21"/>
      </w:rPr>
      <w:t>Sdn</w:t>
    </w:r>
    <w:proofErr w:type="spellEnd"/>
    <w:r w:rsidRPr="00896953">
      <w:rPr>
        <w:rFonts w:ascii="Arial" w:hAnsi="Arial" w:cs="Arial"/>
        <w:sz w:val="20"/>
        <w:szCs w:val="21"/>
      </w:rPr>
      <w:t xml:space="preserve"> </w:t>
    </w:r>
    <w:proofErr w:type="spellStart"/>
    <w:r w:rsidRPr="00896953">
      <w:rPr>
        <w:rFonts w:ascii="Arial" w:hAnsi="Arial" w:cs="Arial"/>
        <w:sz w:val="20"/>
        <w:szCs w:val="21"/>
      </w:rPr>
      <w:t>Bhd</w:t>
    </w:r>
    <w:proofErr w:type="spellEnd"/>
    <w:r w:rsidRPr="00896953">
      <w:rPr>
        <w:rFonts w:ascii="Arial" w:hAnsi="Arial" w:cs="Arial"/>
        <w:sz w:val="20"/>
        <w:szCs w:val="21"/>
      </w:rPr>
      <w:t xml:space="preserve">  </w:t>
    </w:r>
    <w:proofErr w:type="gramStart"/>
    <w:r w:rsidR="000C59AB" w:rsidRPr="00896953">
      <w:rPr>
        <w:rFonts w:ascii="Arial" w:hAnsi="Arial" w:cs="Arial"/>
        <w:sz w:val="20"/>
        <w:szCs w:val="21"/>
      </w:rPr>
      <w:t>恒逸实业</w:t>
    </w:r>
    <w:proofErr w:type="gramEnd"/>
    <w:r w:rsidR="000C59AB" w:rsidRPr="00896953">
      <w:rPr>
        <w:rFonts w:ascii="Arial" w:hAnsi="Arial" w:cs="Arial"/>
        <w:sz w:val="20"/>
        <w:szCs w:val="21"/>
      </w:rPr>
      <w:t>（文莱）有限公司</w:t>
    </w:r>
    <w:r w:rsidR="000C59AB" w:rsidRPr="00896953">
      <w:rPr>
        <w:rFonts w:ascii="Arial" w:hAnsi="Arial" w:cs="Arial"/>
        <w:sz w:val="20"/>
        <w:szCs w:val="21"/>
      </w:rPr>
      <w:t xml:space="preserve">              </w:t>
    </w:r>
    <w:r w:rsidR="00896953">
      <w:rPr>
        <w:rFonts w:ascii="Arial" w:hAnsi="Arial" w:cs="Arial" w:hint="eastAsia"/>
        <w:sz w:val="20"/>
        <w:szCs w:val="21"/>
      </w:rPr>
      <w:t xml:space="preserve">        </w:t>
    </w:r>
    <w:r w:rsidR="000C59AB" w:rsidRPr="00896953">
      <w:rPr>
        <w:rFonts w:ascii="Arial" w:hAnsi="Arial" w:cs="Arial"/>
        <w:sz w:val="20"/>
        <w:szCs w:val="21"/>
      </w:rPr>
      <w:t xml:space="preserve">   </w:t>
    </w:r>
    <w:r w:rsidR="004E76A5" w:rsidRPr="00896953">
      <w:rPr>
        <w:rFonts w:ascii="Arial" w:hAnsi="Arial" w:cs="Arial"/>
        <w:sz w:val="20"/>
        <w:szCs w:val="21"/>
      </w:rPr>
      <w:t xml:space="preserve">Page  </w:t>
    </w:r>
    <w:r w:rsidR="00FE6761" w:rsidRPr="00FE6761">
      <w:rPr>
        <w:rFonts w:ascii="Arial" w:hAnsi="Arial" w:cs="Arial"/>
        <w:sz w:val="20"/>
        <w:szCs w:val="21"/>
      </w:rPr>
      <w:fldChar w:fldCharType="begin"/>
    </w:r>
    <w:r w:rsidR="00FE6761" w:rsidRPr="00FE6761">
      <w:rPr>
        <w:rFonts w:ascii="Arial" w:hAnsi="Arial" w:cs="Arial"/>
        <w:sz w:val="20"/>
        <w:szCs w:val="21"/>
      </w:rPr>
      <w:instrText>PAGE   \* MERGEFORMAT</w:instrText>
    </w:r>
    <w:r w:rsidR="00FE6761" w:rsidRPr="00FE6761">
      <w:rPr>
        <w:rFonts w:ascii="Arial" w:hAnsi="Arial" w:cs="Arial"/>
        <w:sz w:val="20"/>
        <w:szCs w:val="21"/>
      </w:rPr>
      <w:fldChar w:fldCharType="separate"/>
    </w:r>
    <w:r w:rsidR="00FE6761" w:rsidRPr="00FE6761">
      <w:rPr>
        <w:rFonts w:ascii="Arial" w:hAnsi="Arial" w:cs="Arial"/>
        <w:sz w:val="20"/>
        <w:szCs w:val="21"/>
        <w:lang w:val="zh-CN"/>
      </w:rPr>
      <w:t>1</w:t>
    </w:r>
    <w:r w:rsidR="00FE6761" w:rsidRPr="00FE6761">
      <w:rPr>
        <w:rFonts w:ascii="Arial" w:hAnsi="Arial" w:cs="Arial"/>
        <w:sz w:val="20"/>
        <w:szCs w:val="21"/>
      </w:rPr>
      <w:fldChar w:fldCharType="end"/>
    </w:r>
    <w:sdt>
      <w:sdtPr>
        <w:id w:val="32641097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1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1"/>
            </w:rPr>
          </w:sdtEndPr>
          <w:sdtContent>
            <w:r w:rsidR="004E76A5" w:rsidRPr="00896953">
              <w:rPr>
                <w:rFonts w:ascii="Arial" w:hAnsi="Arial" w:cs="Arial"/>
                <w:bCs/>
                <w:sz w:val="20"/>
                <w:szCs w:val="21"/>
              </w:rPr>
              <w:t xml:space="preserve">  of  </w:t>
            </w:r>
            <w:r w:rsidR="00FE6761">
              <w:rPr>
                <w:rFonts w:ascii="Arial" w:hAnsi="Arial" w:cs="Arial"/>
                <w:bCs/>
                <w:sz w:val="20"/>
                <w:szCs w:val="21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7C2A" w14:textId="77777777" w:rsidR="00E66604" w:rsidRDefault="00E66604" w:rsidP="00D66384">
      <w:r>
        <w:separator/>
      </w:r>
    </w:p>
  </w:footnote>
  <w:footnote w:type="continuationSeparator" w:id="0">
    <w:p w14:paraId="3F28D7E5" w14:textId="77777777" w:rsidR="00E66604" w:rsidRDefault="00E66604" w:rsidP="00D6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E368A"/>
    <w:multiLevelType w:val="hybridMultilevel"/>
    <w:tmpl w:val="48FA11B0"/>
    <w:lvl w:ilvl="0" w:tplc="B048704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384"/>
    <w:rsid w:val="00002432"/>
    <w:rsid w:val="00014B2C"/>
    <w:rsid w:val="0003010E"/>
    <w:rsid w:val="00046648"/>
    <w:rsid w:val="0009204F"/>
    <w:rsid w:val="000A17AA"/>
    <w:rsid w:val="000B243F"/>
    <w:rsid w:val="000C59AB"/>
    <w:rsid w:val="000E20FA"/>
    <w:rsid w:val="001075AE"/>
    <w:rsid w:val="00171504"/>
    <w:rsid w:val="001A045E"/>
    <w:rsid w:val="001A1DAC"/>
    <w:rsid w:val="001C7943"/>
    <w:rsid w:val="001E431A"/>
    <w:rsid w:val="001F6EA8"/>
    <w:rsid w:val="00203BC9"/>
    <w:rsid w:val="0025696A"/>
    <w:rsid w:val="00257B65"/>
    <w:rsid w:val="002638D3"/>
    <w:rsid w:val="002C317F"/>
    <w:rsid w:val="0030534B"/>
    <w:rsid w:val="00316317"/>
    <w:rsid w:val="00320498"/>
    <w:rsid w:val="003C470E"/>
    <w:rsid w:val="00406120"/>
    <w:rsid w:val="00414D37"/>
    <w:rsid w:val="0043435B"/>
    <w:rsid w:val="00495A9B"/>
    <w:rsid w:val="004A1558"/>
    <w:rsid w:val="004B2A7A"/>
    <w:rsid w:val="004B2D79"/>
    <w:rsid w:val="004E76A5"/>
    <w:rsid w:val="005729C0"/>
    <w:rsid w:val="00591698"/>
    <w:rsid w:val="005C724D"/>
    <w:rsid w:val="00603428"/>
    <w:rsid w:val="006430E3"/>
    <w:rsid w:val="00672539"/>
    <w:rsid w:val="0069442C"/>
    <w:rsid w:val="006A3DEF"/>
    <w:rsid w:val="006C18B2"/>
    <w:rsid w:val="007020BB"/>
    <w:rsid w:val="00763706"/>
    <w:rsid w:val="00784271"/>
    <w:rsid w:val="007D44D8"/>
    <w:rsid w:val="00836F9D"/>
    <w:rsid w:val="00895075"/>
    <w:rsid w:val="00896953"/>
    <w:rsid w:val="008A6C7F"/>
    <w:rsid w:val="008D6DBD"/>
    <w:rsid w:val="008F317D"/>
    <w:rsid w:val="008F4655"/>
    <w:rsid w:val="009504EB"/>
    <w:rsid w:val="00960234"/>
    <w:rsid w:val="0098574C"/>
    <w:rsid w:val="009B27F0"/>
    <w:rsid w:val="009D1CEA"/>
    <w:rsid w:val="00A176F8"/>
    <w:rsid w:val="00A2457E"/>
    <w:rsid w:val="00A6219C"/>
    <w:rsid w:val="00A91780"/>
    <w:rsid w:val="00AA05B5"/>
    <w:rsid w:val="00AC6009"/>
    <w:rsid w:val="00AD6BE5"/>
    <w:rsid w:val="00AD7A6D"/>
    <w:rsid w:val="00AE67DC"/>
    <w:rsid w:val="00B13DDB"/>
    <w:rsid w:val="00B47A5F"/>
    <w:rsid w:val="00BC1EB0"/>
    <w:rsid w:val="00BC7C21"/>
    <w:rsid w:val="00BE4D0A"/>
    <w:rsid w:val="00BE7C02"/>
    <w:rsid w:val="00C17B2C"/>
    <w:rsid w:val="00C77912"/>
    <w:rsid w:val="00CB6424"/>
    <w:rsid w:val="00CF1096"/>
    <w:rsid w:val="00D05A1D"/>
    <w:rsid w:val="00D15518"/>
    <w:rsid w:val="00D3467E"/>
    <w:rsid w:val="00D43644"/>
    <w:rsid w:val="00D444F6"/>
    <w:rsid w:val="00D66384"/>
    <w:rsid w:val="00DA7C74"/>
    <w:rsid w:val="00DE20FD"/>
    <w:rsid w:val="00E15F1B"/>
    <w:rsid w:val="00E66604"/>
    <w:rsid w:val="00EA3612"/>
    <w:rsid w:val="00EC7640"/>
    <w:rsid w:val="00EF36C8"/>
    <w:rsid w:val="00F31B0C"/>
    <w:rsid w:val="00F321E6"/>
    <w:rsid w:val="00F33CBC"/>
    <w:rsid w:val="00F52BA1"/>
    <w:rsid w:val="00FE6761"/>
    <w:rsid w:val="00FE67AA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DEF2B"/>
  <w15:docId w15:val="{10D1BCDD-3752-4D2E-AE7A-36946B95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9A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59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59AB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59A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638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638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1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44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613A0F9257845AA6E28D5D48D1357" ma:contentTypeVersion="18" ma:contentTypeDescription="Create a new document." ma:contentTypeScope="" ma:versionID="43329eb0e8c4f820eeb20aa144c3185c">
  <xsd:schema xmlns:xsd="http://www.w3.org/2001/XMLSchema" xmlns:xs="http://www.w3.org/2001/XMLSchema" xmlns:p="http://schemas.microsoft.com/office/2006/metadata/properties" xmlns:ns2="2a7da43e-e2bd-4377-b49e-60120717ddfd" xmlns:ns3="d09e4347-54e3-4097-b2ff-1a5353d26c0d" targetNamespace="http://schemas.microsoft.com/office/2006/metadata/properties" ma:root="true" ma:fieldsID="c55c80f5d0d71219b1b4f59857e46407" ns2:_="" ns3:_="">
    <xsd:import namespace="2a7da43e-e2bd-4377-b49e-60120717ddfd"/>
    <xsd:import namespace="d09e4347-54e3-4097-b2ff-1a5353d26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a43e-e2bd-4377-b49e-60120717d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98809c-36d9-4097-85fc-7958f40ba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4347-54e3-4097-b2ff-1a5353d26c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bc6220-8815-43b6-8829-80315aeea6f6}" ma:internalName="TaxCatchAll" ma:showField="CatchAllData" ma:web="d09e4347-54e3-4097-b2ff-1a5353d26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E932C-97C0-49E3-A088-2DB5C0637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da43e-e2bd-4377-b49e-60120717ddfd"/>
    <ds:schemaRef ds:uri="d09e4347-54e3-4097-b2ff-1a5353d26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1288E-60F4-4775-BAD5-8EBCAF3E8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张春丽</dc:creator>
  <cp:lastModifiedBy>frankmao2000@hotmail.com</cp:lastModifiedBy>
  <cp:revision>31</cp:revision>
  <cp:lastPrinted>2017-11-07T03:03:00Z</cp:lastPrinted>
  <dcterms:created xsi:type="dcterms:W3CDTF">2017-11-06T14:32:00Z</dcterms:created>
  <dcterms:modified xsi:type="dcterms:W3CDTF">2025-05-12T03:01:00Z</dcterms:modified>
</cp:coreProperties>
</file>